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2D3" w:rsidRPr="001F743E" w:rsidRDefault="00AD02D3" w:rsidP="00AD02D3">
      <w:pPr>
        <w:jc w:val="center"/>
        <w:rPr>
          <w:b/>
          <w:sz w:val="28"/>
        </w:rPr>
      </w:pPr>
      <w:r w:rsidRPr="001F743E">
        <w:rPr>
          <w:b/>
          <w:sz w:val="28"/>
        </w:rPr>
        <w:t>UNIVERSITY OF WATERLOO</w:t>
      </w:r>
    </w:p>
    <w:p w:rsidR="00AD02D3" w:rsidRPr="001F743E" w:rsidRDefault="00AD02D3" w:rsidP="00AD02D3">
      <w:pPr>
        <w:jc w:val="center"/>
        <w:rPr>
          <w:b/>
          <w:sz w:val="28"/>
        </w:rPr>
      </w:pPr>
      <w:r w:rsidRPr="001F743E">
        <w:rPr>
          <w:sz w:val="28"/>
        </w:rPr>
        <w:t>Faculty of Environment</w:t>
      </w:r>
    </w:p>
    <w:p w:rsidR="00AD02D3" w:rsidRPr="001F743E" w:rsidRDefault="00AD02D3" w:rsidP="00AD02D3">
      <w:pPr>
        <w:rPr>
          <w:b/>
          <w:sz w:val="28"/>
          <w:u w:val="single"/>
        </w:rPr>
      </w:pPr>
    </w:p>
    <w:p w:rsidR="00AD02D3" w:rsidRPr="001F743E" w:rsidRDefault="00AD02D3" w:rsidP="00AD02D3">
      <w:pPr>
        <w:rPr>
          <w:b/>
          <w:sz w:val="28"/>
          <w:u w:val="single"/>
        </w:rPr>
      </w:pPr>
    </w:p>
    <w:p w:rsidR="00AD02D3" w:rsidRPr="001F743E" w:rsidRDefault="00AD02D3" w:rsidP="00AD02D3">
      <w:pPr>
        <w:rPr>
          <w:b/>
          <w:sz w:val="28"/>
          <w:u w:val="single"/>
        </w:rPr>
      </w:pPr>
    </w:p>
    <w:p w:rsidR="00AD02D3" w:rsidRPr="001F743E" w:rsidRDefault="00AD02D3" w:rsidP="00AD02D3">
      <w:pPr>
        <w:rPr>
          <w:b/>
          <w:sz w:val="28"/>
          <w:u w:val="single"/>
        </w:rPr>
      </w:pPr>
    </w:p>
    <w:p w:rsidR="00AD02D3" w:rsidRPr="001F743E" w:rsidRDefault="00AD02D3" w:rsidP="00AD02D3">
      <w:pPr>
        <w:rPr>
          <w:b/>
          <w:sz w:val="28"/>
          <w:u w:val="single"/>
        </w:rPr>
      </w:pPr>
    </w:p>
    <w:p w:rsidR="00AD02D3" w:rsidRPr="001F743E" w:rsidRDefault="00AD02D3" w:rsidP="00AD02D3">
      <w:pPr>
        <w:rPr>
          <w:b/>
          <w:sz w:val="28"/>
          <w:u w:val="single"/>
        </w:rPr>
      </w:pPr>
    </w:p>
    <w:p w:rsidR="00AD02D3" w:rsidRPr="001F743E" w:rsidRDefault="00AD02D3" w:rsidP="00AD02D3">
      <w:pPr>
        <w:rPr>
          <w:b/>
          <w:sz w:val="28"/>
          <w:u w:val="single"/>
        </w:rPr>
      </w:pPr>
    </w:p>
    <w:p w:rsidR="00AD02D3" w:rsidRPr="001F743E" w:rsidRDefault="00AD02D3" w:rsidP="00AD02D3">
      <w:pPr>
        <w:rPr>
          <w:b/>
          <w:sz w:val="28"/>
          <w:u w:val="single"/>
        </w:rPr>
      </w:pPr>
    </w:p>
    <w:p w:rsidR="00AD02D3" w:rsidRPr="001F743E" w:rsidRDefault="00AD02D3" w:rsidP="00AD02D3">
      <w:pPr>
        <w:rPr>
          <w:b/>
          <w:sz w:val="28"/>
          <w:u w:val="single"/>
        </w:rPr>
      </w:pPr>
    </w:p>
    <w:p w:rsidR="00AD02D3" w:rsidRPr="001F743E" w:rsidRDefault="00AD02D3" w:rsidP="00AD02D3">
      <w:pPr>
        <w:jc w:val="center"/>
        <w:rPr>
          <w:b/>
          <w:sz w:val="28"/>
        </w:rPr>
      </w:pPr>
      <w:r w:rsidRPr="001F743E">
        <w:rPr>
          <w:b/>
          <w:sz w:val="28"/>
        </w:rPr>
        <w:t>LAKE ASSOCIATIONS WATER QUALITY REPORT: JULY 2014</w:t>
      </w:r>
    </w:p>
    <w:p w:rsidR="00AD02D3" w:rsidRPr="001F743E" w:rsidRDefault="00AD02D3" w:rsidP="00AD02D3">
      <w:pPr>
        <w:rPr>
          <w:b/>
          <w:sz w:val="28"/>
        </w:rPr>
      </w:pPr>
    </w:p>
    <w:p w:rsidR="00AD02D3" w:rsidRPr="001F743E" w:rsidRDefault="00AD02D3" w:rsidP="00AD02D3">
      <w:pPr>
        <w:rPr>
          <w:b/>
          <w:sz w:val="28"/>
        </w:rPr>
      </w:pPr>
    </w:p>
    <w:p w:rsidR="00AD02D3" w:rsidRPr="001F743E" w:rsidRDefault="00AD02D3" w:rsidP="00AD02D3">
      <w:pPr>
        <w:rPr>
          <w:b/>
          <w:sz w:val="28"/>
        </w:rPr>
      </w:pPr>
    </w:p>
    <w:p w:rsidR="00AD02D3" w:rsidRPr="001F743E" w:rsidRDefault="00AD02D3" w:rsidP="00AD02D3">
      <w:pPr>
        <w:rPr>
          <w:b/>
          <w:sz w:val="28"/>
        </w:rPr>
      </w:pPr>
    </w:p>
    <w:p w:rsidR="00AD02D3" w:rsidRPr="001F743E" w:rsidRDefault="00AD02D3" w:rsidP="00AD02D3">
      <w:pPr>
        <w:rPr>
          <w:b/>
          <w:sz w:val="28"/>
        </w:rPr>
      </w:pPr>
    </w:p>
    <w:p w:rsidR="00AD02D3" w:rsidRPr="001F743E" w:rsidRDefault="00AD02D3" w:rsidP="00AD02D3">
      <w:pPr>
        <w:rPr>
          <w:b/>
          <w:sz w:val="28"/>
        </w:rPr>
      </w:pPr>
    </w:p>
    <w:p w:rsidR="00AD02D3" w:rsidRPr="001F743E" w:rsidRDefault="00AD02D3" w:rsidP="00AD02D3">
      <w:pPr>
        <w:rPr>
          <w:b/>
          <w:sz w:val="28"/>
        </w:rPr>
      </w:pPr>
    </w:p>
    <w:p w:rsidR="00AD02D3" w:rsidRPr="001F743E" w:rsidRDefault="00AD02D3" w:rsidP="00AD02D3">
      <w:pPr>
        <w:rPr>
          <w:b/>
          <w:sz w:val="28"/>
        </w:rPr>
      </w:pPr>
    </w:p>
    <w:p w:rsidR="00AD02D3" w:rsidRPr="001F743E" w:rsidRDefault="00AD02D3" w:rsidP="00AD02D3">
      <w:pPr>
        <w:rPr>
          <w:b/>
          <w:sz w:val="28"/>
        </w:rPr>
      </w:pPr>
    </w:p>
    <w:p w:rsidR="00AD02D3" w:rsidRPr="001F743E" w:rsidRDefault="00AD02D3" w:rsidP="00AD02D3">
      <w:pPr>
        <w:rPr>
          <w:b/>
          <w:sz w:val="28"/>
          <w:u w:val="single"/>
        </w:rPr>
      </w:pPr>
    </w:p>
    <w:p w:rsidR="00AD02D3" w:rsidRPr="001F743E" w:rsidRDefault="00AD02D3" w:rsidP="00AD02D3">
      <w:pPr>
        <w:jc w:val="center"/>
        <w:rPr>
          <w:sz w:val="28"/>
        </w:rPr>
      </w:pPr>
      <w:r w:rsidRPr="001F743E">
        <w:rPr>
          <w:sz w:val="28"/>
        </w:rPr>
        <w:t>ERS 341: Conservation and Restoration Practice</w:t>
      </w:r>
    </w:p>
    <w:p w:rsidR="00AD02D3" w:rsidRPr="001F743E" w:rsidRDefault="00AD02D3" w:rsidP="00AD02D3">
      <w:pPr>
        <w:jc w:val="center"/>
        <w:rPr>
          <w:sz w:val="28"/>
        </w:rPr>
      </w:pPr>
      <w:r w:rsidRPr="001F743E">
        <w:rPr>
          <w:sz w:val="28"/>
        </w:rPr>
        <w:t>Waterloo, Ontario</w:t>
      </w:r>
    </w:p>
    <w:p w:rsidR="00AD02D3" w:rsidRPr="001F743E" w:rsidRDefault="00AD02D3" w:rsidP="00AD02D3">
      <w:pPr>
        <w:rPr>
          <w:b/>
          <w:sz w:val="28"/>
          <w:u w:val="single"/>
        </w:rPr>
      </w:pPr>
    </w:p>
    <w:p w:rsidR="00AD02D3" w:rsidRPr="001F743E" w:rsidRDefault="00AD02D3" w:rsidP="00AD02D3">
      <w:pPr>
        <w:rPr>
          <w:b/>
          <w:sz w:val="28"/>
          <w:u w:val="single"/>
        </w:rPr>
      </w:pPr>
    </w:p>
    <w:p w:rsidR="00AD02D3" w:rsidRPr="001F743E" w:rsidRDefault="00AD02D3" w:rsidP="00AD02D3">
      <w:pPr>
        <w:rPr>
          <w:sz w:val="28"/>
        </w:rPr>
      </w:pPr>
    </w:p>
    <w:p w:rsidR="00AD02D3" w:rsidRPr="001F743E" w:rsidRDefault="00AD02D3" w:rsidP="00AD02D3">
      <w:pPr>
        <w:rPr>
          <w:sz w:val="28"/>
        </w:rPr>
      </w:pPr>
    </w:p>
    <w:p w:rsidR="00AD02D3" w:rsidRPr="001F743E" w:rsidRDefault="00AD02D3" w:rsidP="00AD02D3">
      <w:pPr>
        <w:rPr>
          <w:sz w:val="28"/>
        </w:rPr>
      </w:pPr>
    </w:p>
    <w:p w:rsidR="00AD02D3" w:rsidRPr="001F743E" w:rsidRDefault="00AD02D3" w:rsidP="00AD02D3">
      <w:pPr>
        <w:rPr>
          <w:sz w:val="28"/>
        </w:rPr>
      </w:pPr>
    </w:p>
    <w:p w:rsidR="00AD02D3" w:rsidRPr="001F743E" w:rsidRDefault="00AD02D3" w:rsidP="00AD02D3">
      <w:pPr>
        <w:rPr>
          <w:sz w:val="28"/>
        </w:rPr>
      </w:pPr>
    </w:p>
    <w:p w:rsidR="00AD02D3" w:rsidRPr="001F743E" w:rsidRDefault="00AD02D3" w:rsidP="00AD02D3">
      <w:pPr>
        <w:rPr>
          <w:sz w:val="28"/>
        </w:rPr>
      </w:pPr>
    </w:p>
    <w:p w:rsidR="00AD02D3" w:rsidRPr="001F743E" w:rsidRDefault="00AD02D3" w:rsidP="00AD02D3">
      <w:pPr>
        <w:rPr>
          <w:sz w:val="28"/>
        </w:rPr>
      </w:pPr>
    </w:p>
    <w:p w:rsidR="00AD02D3" w:rsidRPr="001F743E" w:rsidRDefault="00AD02D3" w:rsidP="00AD02D3">
      <w:pPr>
        <w:rPr>
          <w:sz w:val="28"/>
        </w:rPr>
      </w:pPr>
    </w:p>
    <w:p w:rsidR="00AD02D3" w:rsidRPr="001F743E" w:rsidRDefault="00AD02D3" w:rsidP="00AD02D3">
      <w:pPr>
        <w:jc w:val="center"/>
        <w:rPr>
          <w:sz w:val="28"/>
        </w:rPr>
      </w:pPr>
      <w:r w:rsidRPr="001F743E">
        <w:rPr>
          <w:sz w:val="28"/>
        </w:rPr>
        <w:t>Prepared by</w:t>
      </w:r>
    </w:p>
    <w:p w:rsidR="00AD02D3" w:rsidRPr="001F743E" w:rsidRDefault="00AD02D3" w:rsidP="00AD02D3">
      <w:pPr>
        <w:jc w:val="center"/>
        <w:rPr>
          <w:sz w:val="28"/>
        </w:rPr>
      </w:pPr>
      <w:r w:rsidRPr="001F743E">
        <w:rPr>
          <w:sz w:val="28"/>
        </w:rPr>
        <w:t xml:space="preserve">Elizabeth </w:t>
      </w:r>
      <w:proofErr w:type="spellStart"/>
      <w:r w:rsidRPr="001F743E">
        <w:rPr>
          <w:sz w:val="28"/>
        </w:rPr>
        <w:t>Stec</w:t>
      </w:r>
      <w:proofErr w:type="spellEnd"/>
      <w:r w:rsidRPr="001F743E">
        <w:rPr>
          <w:sz w:val="28"/>
        </w:rPr>
        <w:t xml:space="preserve"> and Sarah </w:t>
      </w:r>
      <w:proofErr w:type="spellStart"/>
      <w:r w:rsidRPr="001F743E">
        <w:rPr>
          <w:sz w:val="28"/>
        </w:rPr>
        <w:t>Allemang</w:t>
      </w:r>
      <w:proofErr w:type="spellEnd"/>
    </w:p>
    <w:p w:rsidR="00AD02D3" w:rsidRPr="001F743E" w:rsidRDefault="00AD02D3" w:rsidP="00AD02D3">
      <w:pPr>
        <w:jc w:val="center"/>
        <w:rPr>
          <w:sz w:val="28"/>
        </w:rPr>
      </w:pPr>
      <w:r w:rsidRPr="001F743E">
        <w:rPr>
          <w:sz w:val="28"/>
        </w:rPr>
        <w:t>2B Environment and Resource Studies</w:t>
      </w:r>
    </w:p>
    <w:p w:rsidR="00AD02D3" w:rsidRPr="001F743E" w:rsidRDefault="00AD02D3" w:rsidP="00AD02D3">
      <w:pPr>
        <w:jc w:val="center"/>
        <w:rPr>
          <w:sz w:val="28"/>
        </w:rPr>
      </w:pPr>
      <w:r w:rsidRPr="001F743E">
        <w:rPr>
          <w:sz w:val="28"/>
        </w:rPr>
        <w:t>ID 20475599, 20458413</w:t>
      </w:r>
    </w:p>
    <w:p w:rsidR="00AD02D3" w:rsidRPr="001F743E" w:rsidRDefault="00AD02D3" w:rsidP="00AD02D3">
      <w:pPr>
        <w:jc w:val="center"/>
        <w:rPr>
          <w:sz w:val="28"/>
        </w:rPr>
      </w:pPr>
      <w:r w:rsidRPr="001F743E">
        <w:rPr>
          <w:sz w:val="28"/>
        </w:rPr>
        <w:t>July 9, 2014</w:t>
      </w:r>
    </w:p>
    <w:p w:rsidR="00AD02D3" w:rsidRPr="001F743E" w:rsidRDefault="00AD02D3" w:rsidP="00AD02D3">
      <w:pPr>
        <w:rPr>
          <w:b/>
          <w:sz w:val="28"/>
          <w:u w:val="single"/>
        </w:rPr>
      </w:pPr>
      <w:r w:rsidRPr="001F743E">
        <w:rPr>
          <w:b/>
          <w:sz w:val="28"/>
          <w:u w:val="single"/>
        </w:rPr>
        <w:lastRenderedPageBreak/>
        <w:t>1.0 Overview</w:t>
      </w:r>
    </w:p>
    <w:p w:rsidR="00AD02D3" w:rsidRPr="001F743E" w:rsidRDefault="00AD02D3" w:rsidP="00AD02D3">
      <w:pPr>
        <w:ind w:firstLine="720"/>
      </w:pPr>
      <w:r w:rsidRPr="001F743E">
        <w:t>Water quality sampling was completed for the nine lakes outlined in the contract. Communication between lake associations and the field supervisor began May 6</w:t>
      </w:r>
      <w:r w:rsidRPr="001F743E">
        <w:rPr>
          <w:vertAlign w:val="superscript"/>
        </w:rPr>
        <w:t>th</w:t>
      </w:r>
      <w:r w:rsidRPr="001F743E">
        <w:t xml:space="preserve"> and continued throughout July until all sampling was completed. Previous to sampling, background research was conducted to determine where sampling on each lake was done in the past. Each lake was then sampled twice, in six different locations, between July 1</w:t>
      </w:r>
      <w:r w:rsidRPr="001F743E">
        <w:rPr>
          <w:vertAlign w:val="superscript"/>
        </w:rPr>
        <w:t>st</w:t>
      </w:r>
      <w:r w:rsidRPr="001F743E">
        <w:t xml:space="preserve"> and July 31</w:t>
      </w:r>
      <w:r w:rsidRPr="001F743E">
        <w:rPr>
          <w:vertAlign w:val="superscript"/>
        </w:rPr>
        <w:t>st</w:t>
      </w:r>
      <w:r w:rsidRPr="001F743E">
        <w:t xml:space="preserve"> 2014. Water samples were tested for the following parameters; DO, conductivity, pH, NO2, NO3, PO4, TP, and </w:t>
      </w:r>
      <w:proofErr w:type="spellStart"/>
      <w:r w:rsidRPr="001F743E">
        <w:t>secchi</w:t>
      </w:r>
      <w:proofErr w:type="spellEnd"/>
      <w:r w:rsidRPr="001F743E">
        <w:t xml:space="preserve">. All samples, where possible were </w:t>
      </w:r>
      <w:proofErr w:type="spellStart"/>
      <w:r w:rsidRPr="001F743E">
        <w:t>take</w:t>
      </w:r>
      <w:proofErr w:type="spellEnd"/>
      <w:r w:rsidRPr="001F743E">
        <w:t xml:space="preserve"> from bellow the thermocline. An electronic spreadsheet of all lab and field data was created </w:t>
      </w:r>
      <w:proofErr w:type="spellStart"/>
      <w:r w:rsidRPr="001F743E">
        <w:t>along side</w:t>
      </w:r>
      <w:proofErr w:type="spellEnd"/>
      <w:r w:rsidRPr="001F743E">
        <w:t xml:space="preserve"> this report.  This report outlines the methods, data, and analysis used in this study. </w:t>
      </w:r>
    </w:p>
    <w:p w:rsidR="00AD02D3" w:rsidRPr="001F743E" w:rsidRDefault="00AD02D3" w:rsidP="00AD02D3">
      <w:pPr>
        <w:rPr>
          <w:b/>
          <w:sz w:val="28"/>
          <w:u w:val="single"/>
        </w:rPr>
      </w:pPr>
    </w:p>
    <w:p w:rsidR="00AD02D3" w:rsidRPr="001F743E" w:rsidRDefault="00AD02D3" w:rsidP="00AD02D3">
      <w:pPr>
        <w:rPr>
          <w:b/>
          <w:sz w:val="28"/>
          <w:u w:val="single"/>
        </w:rPr>
      </w:pPr>
      <w:r w:rsidRPr="001F743E">
        <w:rPr>
          <w:b/>
          <w:sz w:val="28"/>
          <w:u w:val="single"/>
        </w:rPr>
        <w:t>2.0 Introduction</w:t>
      </w:r>
    </w:p>
    <w:p w:rsidR="00AD02D3" w:rsidRPr="001F743E" w:rsidRDefault="00AD02D3" w:rsidP="00AD02D3">
      <w:r w:rsidRPr="001F743E">
        <w:tab/>
        <w:t>The Water Quality Initiative is important for the protection of the Muskoka lakes as it establishes locations where nutrient levels have fluctuated from previous years. The data is used to determine the safety level for recreational use, and preferred levels for aquatic wildlife (</w:t>
      </w:r>
      <w:proofErr w:type="spellStart"/>
      <w:r w:rsidRPr="001F743E">
        <w:t>Nairn</w:t>
      </w:r>
      <w:proofErr w:type="spellEnd"/>
      <w:r w:rsidRPr="001F743E">
        <w:t xml:space="preserve"> &amp; </w:t>
      </w:r>
      <w:proofErr w:type="spellStart"/>
      <w:r w:rsidRPr="001F743E">
        <w:t>Aitken</w:t>
      </w:r>
      <w:proofErr w:type="spellEnd"/>
      <w:r w:rsidRPr="001F743E">
        <w:t xml:space="preserve">, 2013). The goal of the project is to collect data on an annual basis so that the results can be compared and analyzed.  Each year a different consultant company is hired by MLA to write the final Water Quality Report. </w:t>
      </w:r>
    </w:p>
    <w:p w:rsidR="00AD02D3" w:rsidRPr="001F743E" w:rsidRDefault="00AD02D3" w:rsidP="00AD02D3">
      <w:pPr>
        <w:rPr>
          <w:sz w:val="28"/>
        </w:rPr>
      </w:pPr>
    </w:p>
    <w:p w:rsidR="00AD02D3" w:rsidRPr="001F743E" w:rsidRDefault="00AD02D3" w:rsidP="00AD02D3">
      <w:pPr>
        <w:rPr>
          <w:b/>
          <w:sz w:val="28"/>
          <w:u w:val="single"/>
        </w:rPr>
      </w:pPr>
      <w:r w:rsidRPr="001F743E">
        <w:rPr>
          <w:b/>
          <w:sz w:val="28"/>
          <w:u w:val="single"/>
        </w:rPr>
        <w:t>2.0 Methodology</w:t>
      </w:r>
    </w:p>
    <w:p w:rsidR="00AD02D3" w:rsidRPr="001F743E" w:rsidRDefault="00AD02D3" w:rsidP="00AD02D3">
      <w:pPr>
        <w:ind w:firstLine="720"/>
      </w:pPr>
      <w:r w:rsidRPr="001F743E">
        <w:t xml:space="preserve">The contract for this project stated that the following nine lakes were to be sampled twice in July 2014; Mary Lake, Skeleton Lake, Lake Vernon, Fairy Lake, Peninsula Lake, </w:t>
      </w:r>
      <w:proofErr w:type="spellStart"/>
      <w:r w:rsidRPr="001F743E">
        <w:t>Muldrew</w:t>
      </w:r>
      <w:proofErr w:type="spellEnd"/>
      <w:r w:rsidRPr="001F743E">
        <w:t xml:space="preserve"> Lake, Clear Lake, Fox Lake, and Three Mile Lake. These lakes were determined based on availability of past data, lack of data, or through community request. Some lakes were tested last year, and these coordinates were to be used this year to ensure accuracy and consistency with the data. However, once sampling began on these lakes, it was clear that last </w:t>
      </w:r>
      <w:proofErr w:type="spellStart"/>
      <w:r w:rsidRPr="001F743E">
        <w:t>years</w:t>
      </w:r>
      <w:proofErr w:type="spellEnd"/>
      <w:r w:rsidRPr="001F743E">
        <w:t xml:space="preserve"> coordinates were incorrect and therefore unusable. Maps were used to estimate as close as possible to the six sampling locations on each lake from last year. New, correct coordinates were taken at these sites, then recorded and revisited on the second sampling day. The lakes new to the program had six sites that were randomly and strategically chosen to best represent the lake. Sample sites were primarily chosen at the community partner’s request.</w:t>
      </w:r>
    </w:p>
    <w:p w:rsidR="00AD02D3" w:rsidRPr="001F743E" w:rsidRDefault="00AD02D3" w:rsidP="00AD02D3"/>
    <w:p w:rsidR="00AD02D3" w:rsidRPr="001F743E" w:rsidRDefault="00AD02D3" w:rsidP="00AD02D3">
      <w:pPr>
        <w:rPr>
          <w:b/>
        </w:rPr>
      </w:pPr>
      <w:r w:rsidRPr="001F743E">
        <w:rPr>
          <w:b/>
        </w:rPr>
        <w:t>Sampling Schedule:</w:t>
      </w:r>
    </w:p>
    <w:p w:rsidR="00AD02D3" w:rsidRPr="001F743E" w:rsidRDefault="00AD02D3" w:rsidP="00AD02D3">
      <w:pPr>
        <w:ind w:firstLine="720"/>
      </w:pPr>
      <w:r w:rsidRPr="001F743E">
        <w:t>The original schedule in the methodological protocol that was created before July had field and lab days alternating in order to ensure all samples were tested within 24 hours of being collected. The strategy for water quality testing was to sample two lakes that were relatively close in one day, then for lakes that were further away to be sampled in one day. There were many adjustments and changes made to the original field and lab schedule throughout July. Changes were made to accommodate the needs of the community partners and to work around the other water quality groups, to ensure there were no conflicts. The schedule found in Appendix A outlines all field and lab testing done in July 2014.</w:t>
      </w:r>
    </w:p>
    <w:p w:rsidR="00AD02D3" w:rsidRDefault="00AD02D3" w:rsidP="00AD02D3">
      <w:pPr>
        <w:rPr>
          <w:b/>
        </w:rPr>
      </w:pPr>
    </w:p>
    <w:p w:rsidR="00AD02D3" w:rsidRDefault="00AD02D3" w:rsidP="00AD02D3">
      <w:pPr>
        <w:rPr>
          <w:b/>
        </w:rPr>
      </w:pPr>
    </w:p>
    <w:p w:rsidR="00AD02D3" w:rsidRDefault="00AD02D3" w:rsidP="00AD02D3">
      <w:pPr>
        <w:rPr>
          <w:b/>
        </w:rPr>
      </w:pPr>
    </w:p>
    <w:p w:rsidR="00AD02D3" w:rsidRPr="001F743E" w:rsidRDefault="00AD02D3" w:rsidP="00AD02D3">
      <w:r w:rsidRPr="001F743E">
        <w:rPr>
          <w:b/>
        </w:rPr>
        <w:t>Field Sampling Procedure:</w:t>
      </w:r>
    </w:p>
    <w:p w:rsidR="00AD02D3" w:rsidRPr="001F743E" w:rsidRDefault="00AD02D3" w:rsidP="00AD02D3">
      <w:pPr>
        <w:ind w:firstLine="720"/>
      </w:pPr>
      <w:r w:rsidRPr="001F743E">
        <w:t xml:space="preserve">All water quality sampling was completed in the month of July. In July, thermal stratification occurs and warm water, which is less dense then cold water, rises to the surface (Jones, Clark, Bond, &amp; Powers, 2012). Warmer water has a higher productivity than colder water; therefore a greater amount of nutrients will be available for sampling during thermal stratification. Water bellow the </w:t>
      </w:r>
      <w:proofErr w:type="spellStart"/>
      <w:r w:rsidRPr="001F743E">
        <w:t>thermocline</w:t>
      </w:r>
      <w:proofErr w:type="spellEnd"/>
      <w:r w:rsidRPr="001F743E">
        <w:t xml:space="preserve"> is stagnant and this water was tested when possible as it gives a more accurate indication of the overall lake health. </w:t>
      </w:r>
    </w:p>
    <w:p w:rsidR="00AD02D3" w:rsidRPr="001F743E" w:rsidRDefault="00AD02D3" w:rsidP="00AD02D3">
      <w:pPr>
        <w:ind w:firstLine="720"/>
      </w:pPr>
      <w:r w:rsidRPr="001F743E">
        <w:t xml:space="preserve">A GPS was used for navigation to the correct sample sites. Once arrived to the appropriate location, the boat was anchored if there were strong waves or a current that would cause the boat to drift. A site description, weather, and lake conditions were recorded at each site. The thermocline reader was then used to locate the thermocline and samples were taken half a meter below that to ensure stagnant water was being tested. Shallower sites often did not have a thermocline and in this case, samples collected were taken one meter above the bottom. The horizontal </w:t>
      </w:r>
      <w:proofErr w:type="spellStart"/>
      <w:r w:rsidRPr="001F743E">
        <w:t>vandoran</w:t>
      </w:r>
      <w:proofErr w:type="spellEnd"/>
      <w:r w:rsidRPr="001F743E">
        <w:t xml:space="preserve"> was used to collect the water sample and water was poured slowly to fill a sample bottle, which was then directly placed into the cooler. Sample bottles and lids were rinsed three times with lake water before filling, and gloves were worn to prevent any possible contamination of the bottle and sample. </w:t>
      </w:r>
      <w:proofErr w:type="spellStart"/>
      <w:r w:rsidRPr="001F743E">
        <w:t>Secchi</w:t>
      </w:r>
      <w:proofErr w:type="spellEnd"/>
      <w:r w:rsidRPr="001F743E">
        <w:t xml:space="preserve"> depth was found using a </w:t>
      </w:r>
      <w:proofErr w:type="spellStart"/>
      <w:r w:rsidRPr="001F743E">
        <w:t>secchi</w:t>
      </w:r>
      <w:proofErr w:type="spellEnd"/>
      <w:r w:rsidRPr="001F743E">
        <w:t xml:space="preserve"> disk and recorded at each site. </w:t>
      </w:r>
    </w:p>
    <w:p w:rsidR="00AD02D3" w:rsidRPr="001F743E" w:rsidRDefault="00AD02D3" w:rsidP="00AD02D3">
      <w:pPr>
        <w:ind w:firstLine="720"/>
        <w:rPr>
          <w:b/>
        </w:rPr>
      </w:pPr>
      <w:r w:rsidRPr="001F743E">
        <w:t>The field data template sheet was redone after sampling began and it was clearer to what information needed to be recorded at each site. Appendix B contains the field data template that was used for each lake when sampling. All field procedures to collect water samples followed the protocols set in place by the Canadian Council of Ministers of the Environment, Protocols Manual for Water Quality Sampling in Canada (Canadian Council of Ministers of the Environment, 2011). A list of field equipment used for sampling can be found in Appendix C.</w:t>
      </w:r>
    </w:p>
    <w:p w:rsidR="00AD02D3" w:rsidRPr="001F743E" w:rsidRDefault="00AD02D3" w:rsidP="00AD02D3">
      <w:pPr>
        <w:rPr>
          <w:b/>
        </w:rPr>
      </w:pPr>
    </w:p>
    <w:p w:rsidR="00AD02D3" w:rsidRPr="001F743E" w:rsidRDefault="00AD02D3" w:rsidP="00AD02D3">
      <w:pPr>
        <w:rPr>
          <w:b/>
        </w:rPr>
      </w:pPr>
      <w:r w:rsidRPr="001F743E">
        <w:rPr>
          <w:b/>
        </w:rPr>
        <w:t>Lab Procedures:</w:t>
      </w:r>
    </w:p>
    <w:p w:rsidR="00AD02D3" w:rsidRPr="001F743E" w:rsidRDefault="00AD02D3" w:rsidP="00AD02D3">
      <w:pPr>
        <w:ind w:firstLine="720"/>
      </w:pPr>
      <w:r w:rsidRPr="001F743E">
        <w:t xml:space="preserve">All lab procedures used in the study followed the protocol set in place by the </w:t>
      </w:r>
      <w:proofErr w:type="spellStart"/>
      <w:r w:rsidRPr="001F743E">
        <w:t>Hach</w:t>
      </w:r>
      <w:proofErr w:type="spellEnd"/>
      <w:r w:rsidRPr="001F743E">
        <w:t xml:space="preserve"> manual (</w:t>
      </w:r>
      <w:proofErr w:type="spellStart"/>
      <w:r w:rsidRPr="001F743E">
        <w:t>Hach</w:t>
      </w:r>
      <w:proofErr w:type="spellEnd"/>
      <w:r w:rsidRPr="001F743E">
        <w:t xml:space="preserve"> Company, 2014). Nutrient testing was done using the powder pillow reagent method. The following parameters were analyzed using the </w:t>
      </w:r>
      <w:proofErr w:type="spellStart"/>
      <w:r w:rsidRPr="001F743E">
        <w:t>Hach</w:t>
      </w:r>
      <w:proofErr w:type="spellEnd"/>
      <w:r w:rsidRPr="001F743E">
        <w:t xml:space="preserve"> Spectrophotometer and detailed procedures can be found in Appendix D; Nitrate </w:t>
      </w:r>
      <w:proofErr w:type="spellStart"/>
      <w:r w:rsidRPr="001F743E">
        <w:t>Cadium</w:t>
      </w:r>
      <w:proofErr w:type="spellEnd"/>
      <w:r w:rsidRPr="001F743E">
        <w:t xml:space="preserve"> Reduction Method LR (0.01 to 0.05mg/L NO3-_N), Phosphorus, Reactive USEP1 </w:t>
      </w:r>
      <w:proofErr w:type="spellStart"/>
      <w:r w:rsidRPr="001F743E">
        <w:t>PhosVer</w:t>
      </w:r>
      <w:proofErr w:type="spellEnd"/>
      <w:r w:rsidRPr="001F743E">
        <w:t xml:space="preserve"> 3 (Ascorbic Acid) Method 0.02 to 2.50mg/L PO</w:t>
      </w:r>
      <w:r w:rsidRPr="001F743E">
        <w:rPr>
          <w:vertAlign w:val="subscript"/>
        </w:rPr>
        <w:t>4</w:t>
      </w:r>
      <w:r w:rsidRPr="001F743E">
        <w:rPr>
          <w:vertAlign w:val="superscript"/>
        </w:rPr>
        <w:t>3-</w:t>
      </w:r>
      <w:r w:rsidRPr="001F743E">
        <w:t>, Nitrite USEPA</w:t>
      </w:r>
      <w:r w:rsidRPr="001F743E">
        <w:rPr>
          <w:vertAlign w:val="superscript"/>
        </w:rPr>
        <w:t>1</w:t>
      </w:r>
      <w:r w:rsidRPr="001F743E">
        <w:t xml:space="preserve"> Diazotization LR (0.002 to 0.300mg/L NO</w:t>
      </w:r>
      <w:r w:rsidRPr="001F743E">
        <w:rPr>
          <w:vertAlign w:val="subscript"/>
        </w:rPr>
        <w:t>2</w:t>
      </w:r>
      <w:r w:rsidRPr="001F743E">
        <w:t xml:space="preserve">-_N), and Phosphorus Total and Reactive Method 10209 Reactive; Method 10210 Total (TNT 843). </w:t>
      </w:r>
    </w:p>
    <w:p w:rsidR="00AD02D3" w:rsidRPr="001F743E" w:rsidRDefault="00AD02D3" w:rsidP="00AD02D3">
      <w:pPr>
        <w:ind w:firstLine="720"/>
      </w:pPr>
      <w:r w:rsidRPr="001F743E">
        <w:t xml:space="preserve">Dissolved oxygen and pH were tested using the </w:t>
      </w:r>
      <w:proofErr w:type="spellStart"/>
      <w:r w:rsidRPr="001F743E">
        <w:t>Hach</w:t>
      </w:r>
      <w:proofErr w:type="spellEnd"/>
      <w:r w:rsidRPr="001F743E">
        <w:t xml:space="preserve"> </w:t>
      </w:r>
      <w:proofErr w:type="spellStart"/>
      <w:r w:rsidRPr="001F743E">
        <w:t>multimeter</w:t>
      </w:r>
      <w:proofErr w:type="spellEnd"/>
      <w:r w:rsidRPr="001F743E">
        <w:t xml:space="preserve"> because it is more accurate </w:t>
      </w:r>
      <w:proofErr w:type="spellStart"/>
      <w:r w:rsidRPr="001F743E">
        <w:t>then</w:t>
      </w:r>
      <w:proofErr w:type="spellEnd"/>
      <w:r w:rsidRPr="001F743E">
        <w:t xml:space="preserve"> using the </w:t>
      </w:r>
      <w:proofErr w:type="spellStart"/>
      <w:r w:rsidRPr="001F743E">
        <w:t>orion</w:t>
      </w:r>
      <w:proofErr w:type="spellEnd"/>
      <w:r w:rsidRPr="001F743E">
        <w:t xml:space="preserve"> meter. Dissolved Oxygen was the first parameter tested when samples returned to the lab to avoid exposure to oxygen, which may affect the sample readings.  All parameter tests were completed within 24 hours of sample collection. The following equipment was used to test for the nine different parameters:</w:t>
      </w:r>
      <w:r w:rsidRPr="001F743E">
        <w:br/>
      </w:r>
    </w:p>
    <w:p w:rsidR="00AD02D3" w:rsidRPr="001F743E" w:rsidRDefault="00AD02D3" w:rsidP="00AD02D3">
      <w:proofErr w:type="spellStart"/>
      <w:r w:rsidRPr="001F743E">
        <w:t>Hach</w:t>
      </w:r>
      <w:proofErr w:type="spellEnd"/>
      <w:r w:rsidRPr="001F743E">
        <w:t xml:space="preserve"> </w:t>
      </w:r>
      <w:proofErr w:type="spellStart"/>
      <w:r w:rsidRPr="001F743E">
        <w:t>Multimeter</w:t>
      </w:r>
      <w:proofErr w:type="spellEnd"/>
      <w:r w:rsidRPr="001F743E">
        <w:t>:</w:t>
      </w:r>
    </w:p>
    <w:p w:rsidR="00AD02D3" w:rsidRPr="001F743E" w:rsidRDefault="00AD02D3" w:rsidP="00AD02D3">
      <w:pPr>
        <w:numPr>
          <w:ilvl w:val="0"/>
          <w:numId w:val="1"/>
        </w:numPr>
      </w:pPr>
      <w:r w:rsidRPr="001F743E">
        <w:t>Dissolved Oxygen (DO), (mg/L)</w:t>
      </w:r>
    </w:p>
    <w:p w:rsidR="00AD02D3" w:rsidRPr="001F743E" w:rsidRDefault="00AD02D3" w:rsidP="00AD02D3">
      <w:pPr>
        <w:numPr>
          <w:ilvl w:val="0"/>
          <w:numId w:val="1"/>
        </w:numPr>
      </w:pPr>
      <w:r w:rsidRPr="001F743E">
        <w:t>pH</w:t>
      </w:r>
    </w:p>
    <w:p w:rsidR="00AD02D3" w:rsidRPr="001F743E" w:rsidRDefault="00AD02D3" w:rsidP="00AD02D3">
      <w:proofErr w:type="spellStart"/>
      <w:r w:rsidRPr="001F743E">
        <w:lastRenderedPageBreak/>
        <w:t>Hach</w:t>
      </w:r>
      <w:proofErr w:type="spellEnd"/>
      <w:r w:rsidRPr="001F743E">
        <w:t xml:space="preserve"> Orion Meter:</w:t>
      </w:r>
    </w:p>
    <w:p w:rsidR="00AD02D3" w:rsidRPr="001F743E" w:rsidRDefault="00AD02D3" w:rsidP="00AD02D3">
      <w:pPr>
        <w:numPr>
          <w:ilvl w:val="0"/>
          <w:numId w:val="2"/>
        </w:numPr>
      </w:pPr>
      <w:r w:rsidRPr="001F743E">
        <w:t xml:space="preserve">Conductivity </w:t>
      </w:r>
      <w:r w:rsidRPr="001F743E">
        <w:rPr>
          <w:bCs/>
          <w:szCs w:val="20"/>
        </w:rPr>
        <w:t>(</w:t>
      </w:r>
      <w:proofErr w:type="spellStart"/>
      <w:r w:rsidRPr="001F743E">
        <w:rPr>
          <w:bCs/>
          <w:szCs w:val="20"/>
        </w:rPr>
        <w:t>μS</w:t>
      </w:r>
      <w:proofErr w:type="spellEnd"/>
      <w:r w:rsidRPr="001F743E">
        <w:rPr>
          <w:bCs/>
          <w:szCs w:val="20"/>
        </w:rPr>
        <w:t>/cm)</w:t>
      </w:r>
    </w:p>
    <w:p w:rsidR="00AD02D3" w:rsidRPr="001F743E" w:rsidRDefault="00AD02D3" w:rsidP="00AD02D3">
      <w:proofErr w:type="spellStart"/>
      <w:r w:rsidRPr="001F743E">
        <w:t>Hach</w:t>
      </w:r>
      <w:proofErr w:type="spellEnd"/>
      <w:r w:rsidRPr="001F743E">
        <w:t xml:space="preserve"> Spectrophotometer:</w:t>
      </w:r>
    </w:p>
    <w:p w:rsidR="00AD02D3" w:rsidRPr="001F743E" w:rsidRDefault="00AD02D3" w:rsidP="00AD02D3">
      <w:pPr>
        <w:numPr>
          <w:ilvl w:val="0"/>
          <w:numId w:val="2"/>
        </w:numPr>
      </w:pPr>
      <w:r w:rsidRPr="001F743E">
        <w:t xml:space="preserve"> Nitrate (mg/L)</w:t>
      </w:r>
    </w:p>
    <w:p w:rsidR="00AD02D3" w:rsidRPr="001F743E" w:rsidRDefault="00AD02D3" w:rsidP="00AD02D3">
      <w:pPr>
        <w:numPr>
          <w:ilvl w:val="0"/>
          <w:numId w:val="2"/>
        </w:numPr>
      </w:pPr>
      <w:r w:rsidRPr="001F743E">
        <w:t>Nitrite (mg/L)</w:t>
      </w:r>
    </w:p>
    <w:p w:rsidR="00AD02D3" w:rsidRPr="001F743E" w:rsidRDefault="00AD02D3" w:rsidP="00AD02D3">
      <w:pPr>
        <w:numPr>
          <w:ilvl w:val="0"/>
          <w:numId w:val="2"/>
        </w:numPr>
      </w:pPr>
      <w:r w:rsidRPr="001F743E">
        <w:t>Orthophosphates (mg/L)</w:t>
      </w:r>
    </w:p>
    <w:p w:rsidR="00AD02D3" w:rsidRPr="001F743E" w:rsidRDefault="00AD02D3" w:rsidP="00AD02D3">
      <w:pPr>
        <w:numPr>
          <w:ilvl w:val="0"/>
          <w:numId w:val="2"/>
        </w:numPr>
      </w:pPr>
      <w:r w:rsidRPr="001F743E">
        <w:t xml:space="preserve">Total Phosphate (TP) </w:t>
      </w:r>
      <w:r w:rsidRPr="001F743E">
        <w:rPr>
          <w:bCs/>
          <w:szCs w:val="20"/>
        </w:rPr>
        <w:t>(</w:t>
      </w:r>
      <w:proofErr w:type="spellStart"/>
      <w:r w:rsidRPr="001F743E">
        <w:rPr>
          <w:bCs/>
          <w:szCs w:val="20"/>
        </w:rPr>
        <w:t>μg</w:t>
      </w:r>
      <w:proofErr w:type="spellEnd"/>
      <w:r w:rsidRPr="001F743E">
        <w:rPr>
          <w:bCs/>
          <w:szCs w:val="20"/>
        </w:rPr>
        <w:t>/L)</w:t>
      </w:r>
    </w:p>
    <w:p w:rsidR="00AD02D3" w:rsidRPr="001F743E" w:rsidRDefault="00AD02D3" w:rsidP="00AD02D3"/>
    <w:p w:rsidR="00AD02D3" w:rsidRDefault="00AD02D3" w:rsidP="00AD02D3">
      <w:r w:rsidRPr="001F743E">
        <w:br/>
      </w:r>
      <w:r w:rsidRPr="001F743E">
        <w:rPr>
          <w:b/>
        </w:rPr>
        <w:t>Statistical Analysis:</w:t>
      </w:r>
      <w:r w:rsidRPr="001F743E">
        <w:br/>
        <w:t xml:space="preserve"> The program “Past” was used for all calculations. A T-test was the only statistical analysis used to compare data from the two sample days. For many lakes this was the first year data had been collected, therefore it is too early to start analyzing trends in the data. Once there are five to ten years of data and the same parameters are tested each year, then greater forms of statistical analysis can be done. </w:t>
      </w:r>
    </w:p>
    <w:p w:rsidR="00AD02D3" w:rsidRPr="001F743E" w:rsidRDefault="00AD02D3" w:rsidP="00AD02D3">
      <w:r w:rsidRPr="001F743E">
        <w:rPr>
          <w:b/>
          <w:sz w:val="28"/>
        </w:rPr>
        <w:t>3.1 Project Parameters</w:t>
      </w:r>
    </w:p>
    <w:p w:rsidR="00AD02D3" w:rsidRPr="001F743E" w:rsidRDefault="00AD02D3" w:rsidP="00AD02D3">
      <w:pPr>
        <w:rPr>
          <w:b/>
        </w:rPr>
      </w:pPr>
    </w:p>
    <w:p w:rsidR="00AD02D3" w:rsidRPr="001F743E" w:rsidRDefault="00AD02D3" w:rsidP="00AD02D3">
      <w:pPr>
        <w:ind w:left="567" w:hanging="567"/>
        <w:rPr>
          <w:b/>
        </w:rPr>
      </w:pPr>
      <w:r w:rsidRPr="001F743E">
        <w:rPr>
          <w:b/>
        </w:rPr>
        <w:t>Dissolved Oxygen:</w:t>
      </w:r>
    </w:p>
    <w:p w:rsidR="00AD02D3" w:rsidRPr="001F743E" w:rsidRDefault="00AD02D3" w:rsidP="00AD02D3">
      <w:r w:rsidRPr="001F743E">
        <w:tab/>
        <w:t xml:space="preserve">Dissolved oxygen (DO) is the amount of oxygen that is carried within an ecosystem (CCME, 1999). The atmosphere and photosynthesis are two major sources that contribute to DO levels (CCME, 1999). Oxygenation also occurs from currents, winds, and inflows (CCME, 1999). DO is essential for aerobic aquatic organisms as they rely on it for respiration and metabolism (CCME, 1999).  In shallow water most of the DO is lost due to high concentrations of organic matter and bacterial activity (CCME, 1999). As opposed to deep water where the dissolved oxygen is consumed through species respiration (CCME, 1999). Dissolved DO as deforestation, wastewater deposits, and agriculture (CCME, 1999). Increases in nutrients like Nitrogen and Phosphorus decrease DO levels as well through algae growth, then decomposition (Anderson, Burkholder, &amp; Gilbert, 2002). </w:t>
      </w:r>
    </w:p>
    <w:p w:rsidR="00AD02D3" w:rsidRPr="001F743E" w:rsidRDefault="00AD02D3" w:rsidP="00AD02D3">
      <w:r w:rsidRPr="001F743E">
        <w:tab/>
        <w:t xml:space="preserve">A deficiency in DO is more harmful to an ecosystem than an excess of it (CCME, 1999). Species must adjust their energy levels to cope with a low level of DO, creating damaging effects on their long-term survival (CCME, 1999). Fish are the most sensitive species to reduced DO levels causing lethal circumstances in most cases (CCME, 1999). The CCME guideline for the lowest acceptable DO concentrations in the early life stage is 9.5 mg/L, and for the other stages it is 6.5mg/L (CCME, 1999).  The MOE states that the early stage of life should have a DO level of 9mg/L while the other stages have a level of 5mg/L (MOE, 1997). The PWQO include an acceptable range for warm water bodies of 4-7mg/L and 5-8mg/L for cold-water bodies (MOE, 1994). </w:t>
      </w:r>
    </w:p>
    <w:p w:rsidR="00AD02D3" w:rsidRPr="001F743E" w:rsidRDefault="00AD02D3" w:rsidP="00AD02D3">
      <w:pPr>
        <w:rPr>
          <w:b/>
        </w:rPr>
      </w:pPr>
    </w:p>
    <w:p w:rsidR="00AD02D3" w:rsidRPr="001F743E" w:rsidRDefault="00AD02D3" w:rsidP="00AD02D3">
      <w:pPr>
        <w:rPr>
          <w:b/>
        </w:rPr>
      </w:pPr>
      <w:r w:rsidRPr="001F743E">
        <w:rPr>
          <w:b/>
        </w:rPr>
        <w:t>pH:</w:t>
      </w:r>
    </w:p>
    <w:p w:rsidR="00AD02D3" w:rsidRPr="001F743E" w:rsidRDefault="00AD02D3" w:rsidP="00AD02D3">
      <w:pPr>
        <w:ind w:firstLine="720"/>
      </w:pPr>
      <w:r w:rsidRPr="001F743E">
        <w:t xml:space="preserve">The acidity or alkalinity of water is determined by the pH value. The pH scale ranges from 0-14, with 7 being neutral. pH values that are lower </w:t>
      </w:r>
      <w:proofErr w:type="spellStart"/>
      <w:r w:rsidRPr="001F743E">
        <w:t>then</w:t>
      </w:r>
      <w:proofErr w:type="spellEnd"/>
      <w:r w:rsidRPr="001F743E">
        <w:t xml:space="preserve"> 6.5 are considered to be highly acidic, while pH values higher </w:t>
      </w:r>
      <w:proofErr w:type="spellStart"/>
      <w:r w:rsidRPr="001F743E">
        <w:t>then</w:t>
      </w:r>
      <w:proofErr w:type="spellEnd"/>
      <w:r w:rsidRPr="001F743E">
        <w:t xml:space="preserve"> 9 are highly basic(Credit Valley Conservation, 2014).  Health Canada (2012) Guidelines for Canadian Recreational Water Quality state that the pH of water for recreational purposes should be in between the ranges of 5-9. Water that is too acidic or too alkaline may cause swimmers to have skin or eye irritations </w:t>
      </w:r>
      <w:r w:rsidRPr="001F743E">
        <w:lastRenderedPageBreak/>
        <w:t xml:space="preserve">(Health Canada, 2012). Standards for aquatic life, set in place by CCME (1987) reveal that pH measurements should be between 6.5-9. pH measurements that are higher or lower then this range may be unable to sustain certain plant and aquatic life (Credit Valley Conservation, 2014). Changes in pH in an aquatic ecosystem are often indicators of chemical changes, or availability of nutrients and therefore, pH values should be closely monitored to ensure long-term water quality health (Credit Valley Conservation, 2012). </w:t>
      </w:r>
    </w:p>
    <w:p w:rsidR="00AD02D3" w:rsidRPr="001F743E" w:rsidRDefault="00AD02D3" w:rsidP="00AD02D3">
      <w:pPr>
        <w:ind w:firstLine="720"/>
      </w:pPr>
    </w:p>
    <w:p w:rsidR="00AD02D3" w:rsidRPr="001F743E" w:rsidRDefault="00AD02D3" w:rsidP="00AD02D3">
      <w:pPr>
        <w:jc w:val="both"/>
      </w:pPr>
      <w:r w:rsidRPr="001F743E">
        <w:rPr>
          <w:b/>
        </w:rPr>
        <w:t>Conductivity:</w:t>
      </w:r>
    </w:p>
    <w:p w:rsidR="00AD02D3" w:rsidRPr="001F743E" w:rsidRDefault="00AD02D3" w:rsidP="00AD02D3">
      <w:pPr>
        <w:ind w:firstLine="720"/>
      </w:pPr>
      <w:r w:rsidRPr="001F743E">
        <w:t>Conductivity is the ability of water to pass through an electrical current. Conductivity measures the amount of dissolved substances, however does not indicate what these substances are. Water temperature affects the conductivity of water as warmer water has higher conductivity (</w:t>
      </w:r>
      <w:proofErr w:type="spellStart"/>
      <w:r w:rsidRPr="001F743E">
        <w:t>Brunskill</w:t>
      </w:r>
      <w:proofErr w:type="spellEnd"/>
      <w:r w:rsidRPr="001F743E">
        <w:t xml:space="preserve">, </w:t>
      </w:r>
      <w:proofErr w:type="spellStart"/>
      <w:r w:rsidRPr="001F743E">
        <w:t>Povoledo</w:t>
      </w:r>
      <w:proofErr w:type="spellEnd"/>
      <w:r w:rsidRPr="001F743E">
        <w:t xml:space="preserve">, &amp; </w:t>
      </w:r>
      <w:proofErr w:type="spellStart"/>
      <w:r w:rsidRPr="001F743E">
        <w:t>Stainton</w:t>
      </w:r>
      <w:proofErr w:type="spellEnd"/>
      <w:r w:rsidRPr="001F743E">
        <w:t>, 2011). Rain dilutes concentrations of minerals, causing the conductivity of water to decrease (</w:t>
      </w:r>
      <w:proofErr w:type="spellStart"/>
      <w:r w:rsidRPr="001F743E">
        <w:t>Brunskill</w:t>
      </w:r>
      <w:proofErr w:type="spellEnd"/>
      <w:r w:rsidRPr="001F743E">
        <w:t xml:space="preserve"> et al., 2011). Geology of an area can also cause an area to have naturally higher or lower conductivity (</w:t>
      </w:r>
      <w:proofErr w:type="spellStart"/>
      <w:r w:rsidRPr="001F743E">
        <w:t>Brunskill</w:t>
      </w:r>
      <w:proofErr w:type="spellEnd"/>
      <w:r w:rsidRPr="001F743E">
        <w:t xml:space="preserve"> et al., 2011). Environment Canada (2011), targets for conductivity in fresh water lakes is under </w:t>
      </w:r>
      <w:r w:rsidRPr="001F743E">
        <w:rPr>
          <w:rFonts w:cs="Verdana"/>
          <w:szCs w:val="26"/>
        </w:rPr>
        <w:t>500 µS cm</w:t>
      </w:r>
      <w:r w:rsidRPr="001F743E">
        <w:rPr>
          <w:rFonts w:cs="Verdana"/>
          <w:szCs w:val="26"/>
          <w:vertAlign w:val="superscript"/>
        </w:rPr>
        <w:t>-</w:t>
      </w:r>
      <w:r w:rsidRPr="001F743E">
        <w:rPr>
          <w:rFonts w:cs="Verdana"/>
          <w:szCs w:val="22"/>
          <w:vertAlign w:val="superscript"/>
        </w:rPr>
        <w:t>1</w:t>
      </w:r>
      <w:r w:rsidRPr="001F743E">
        <w:t xml:space="preserve"> Conductivity should be monitored to determine the lakes normal ranges, as an increase in conductivity over time could be a sign of discharge or other source of pollution (</w:t>
      </w:r>
      <w:proofErr w:type="spellStart"/>
      <w:r w:rsidRPr="001F743E">
        <w:t>Brunskill</w:t>
      </w:r>
      <w:proofErr w:type="spellEnd"/>
      <w:r w:rsidRPr="001F743E">
        <w:t xml:space="preserve"> et al., 2011). </w:t>
      </w:r>
      <w:r w:rsidRPr="001F743E">
        <w:br/>
      </w:r>
      <w:r w:rsidRPr="001F743E">
        <w:br/>
      </w:r>
      <w:r w:rsidRPr="001F743E">
        <w:rPr>
          <w:b/>
        </w:rPr>
        <w:t xml:space="preserve">Temperature: </w:t>
      </w:r>
    </w:p>
    <w:p w:rsidR="00AD02D3" w:rsidRPr="001F743E" w:rsidRDefault="00AD02D3" w:rsidP="00AD02D3">
      <w:pPr>
        <w:ind w:firstLine="720"/>
      </w:pPr>
      <w:r w:rsidRPr="001F743E">
        <w:t xml:space="preserve">Temperatures of each sample were taken directly after they were bottled in this study. Temperatures varied as samples were taken accordingly based on the water depths in each location. The samples taken closer to the surface of the water had the warmest temperatures because of the sunlight penetrating on the surface of the water. </w:t>
      </w:r>
    </w:p>
    <w:p w:rsidR="00AD02D3" w:rsidRPr="001F743E" w:rsidRDefault="00AD02D3" w:rsidP="00AD02D3">
      <w:r w:rsidRPr="001F743E">
        <w:t xml:space="preserve"> In some shallow locations there was no thermocline, therefore the water sample taken would be warmer </w:t>
      </w:r>
      <w:proofErr w:type="spellStart"/>
      <w:r w:rsidRPr="001F743E">
        <w:t>then</w:t>
      </w:r>
      <w:proofErr w:type="spellEnd"/>
      <w:r w:rsidRPr="001F743E">
        <w:t xml:space="preserve"> a sample taken from a location with a thermocline. Factors that influence temperatures include different seasons, weather, and time of day samples were taken at. There are no temperature guidelines for lakes, however many aquatic species are sensitive to temperature change. Temperature in a lake ecosystem should not be altered to such a degree where the environment and abundance of aquatic life significantly changes. Temperature changes in a lake ecosystem should be monitored in order to determine the lakes normal temperature range. </w:t>
      </w:r>
    </w:p>
    <w:p w:rsidR="00AD02D3" w:rsidRPr="001F743E" w:rsidRDefault="00AD02D3" w:rsidP="00AD02D3"/>
    <w:p w:rsidR="00AD02D3" w:rsidRPr="001F743E" w:rsidRDefault="00AD02D3" w:rsidP="00AD02D3">
      <w:proofErr w:type="spellStart"/>
      <w:r w:rsidRPr="001F743E">
        <w:rPr>
          <w:b/>
        </w:rPr>
        <w:t>Secchi</w:t>
      </w:r>
      <w:proofErr w:type="spellEnd"/>
      <w:r w:rsidRPr="001F743E">
        <w:rPr>
          <w:b/>
        </w:rPr>
        <w:t xml:space="preserve"> Depth:</w:t>
      </w:r>
      <w:r w:rsidRPr="001F743E">
        <w:br/>
        <w:t xml:space="preserve"> </w:t>
      </w:r>
      <w:r w:rsidRPr="001F743E">
        <w:tab/>
        <w:t xml:space="preserve">A </w:t>
      </w:r>
      <w:proofErr w:type="spellStart"/>
      <w:r w:rsidRPr="001F743E">
        <w:t>secchi</w:t>
      </w:r>
      <w:proofErr w:type="spellEnd"/>
      <w:r w:rsidRPr="001F743E">
        <w:t xml:space="preserve"> disk is a round, flat disk that was used to measure the clarity and turbidity of water in our study. Turbidity is important as it measures the amount of total suspended solids (TSS) in a body of water. Sources of suspended soils are not limited </w:t>
      </w:r>
      <w:proofErr w:type="spellStart"/>
      <w:r w:rsidRPr="001F743E">
        <w:t>too</w:t>
      </w:r>
      <w:proofErr w:type="spellEnd"/>
      <w:r w:rsidRPr="001F743E">
        <w:t xml:space="preserve">, but may include; agriculture, dams and reservoirs, flooding, erosion, and urban development (Kerr, 1995). Some sources of suspended solids occur naturally, while others are intensified by anthropogenic disturbances (Kerr, 1995). Turbid waters have higher levels of TSS and are aesthetically displeasing as they are generally murkier in </w:t>
      </w:r>
      <w:proofErr w:type="spellStart"/>
      <w:r w:rsidRPr="001F743E">
        <w:t>colour</w:t>
      </w:r>
      <w:proofErr w:type="spellEnd"/>
      <w:r w:rsidRPr="001F743E">
        <w:t>, and may give off an odor (CCME, 2011).  It is desirable to have lakes with clear water as sunlight is able to penetrate deeper into the water compared to murky waters, encouraging the photosynthesis of aquatic plants and higher ecosystem productivity (</w:t>
      </w:r>
      <w:proofErr w:type="spellStart"/>
      <w:r w:rsidRPr="001F743E">
        <w:t>Effler</w:t>
      </w:r>
      <w:proofErr w:type="spellEnd"/>
      <w:r w:rsidRPr="001F743E">
        <w:t xml:space="preserve">, 1988). Reduced light penetration has indirect and direct affects on aquatic plants, invertebrates, and fish populations (Kerr, </w:t>
      </w:r>
      <w:r w:rsidRPr="001F743E">
        <w:lastRenderedPageBreak/>
        <w:t xml:space="preserve">1995). Higher </w:t>
      </w:r>
      <w:proofErr w:type="spellStart"/>
      <w:r w:rsidRPr="001F743E">
        <w:t>secchi</w:t>
      </w:r>
      <w:proofErr w:type="spellEnd"/>
      <w:r w:rsidRPr="001F743E">
        <w:t xml:space="preserve"> depth readings are desirable because this means the water is clearer, and less turbid.</w:t>
      </w:r>
    </w:p>
    <w:p w:rsidR="00AD02D3" w:rsidRPr="001F743E" w:rsidRDefault="00AD02D3" w:rsidP="00AD02D3">
      <w:pPr>
        <w:ind w:firstLine="720"/>
      </w:pPr>
      <w:r w:rsidRPr="001F743E">
        <w:t xml:space="preserve">The upper most surface of the </w:t>
      </w:r>
      <w:proofErr w:type="spellStart"/>
      <w:r w:rsidRPr="001F743E">
        <w:t>secchi</w:t>
      </w:r>
      <w:proofErr w:type="spellEnd"/>
      <w:r w:rsidRPr="001F743E">
        <w:t xml:space="preserve"> disk is divided into four segments. Two quadrants opposite each other are black, while the other two opposite quadrants are white. Attached to the disk is a rope with measurements marked along it. The rope allows the disk to be lowered into the water and the depth between where the disk is visible, then where it is no longer visible is recorded as the </w:t>
      </w:r>
      <w:proofErr w:type="spellStart"/>
      <w:r w:rsidRPr="001F743E">
        <w:t>secchi</w:t>
      </w:r>
      <w:proofErr w:type="spellEnd"/>
      <w:r w:rsidRPr="001F743E">
        <w:t xml:space="preserve"> depth. The optimal time for </w:t>
      </w:r>
      <w:proofErr w:type="spellStart"/>
      <w:r w:rsidRPr="001F743E">
        <w:t>secchi</w:t>
      </w:r>
      <w:proofErr w:type="spellEnd"/>
      <w:r w:rsidRPr="001F743E">
        <w:t xml:space="preserve"> depth readings is in mid-day (Health Canada, 2012). Factors such as the observer, light, and weather conditions will all affect the measurements. Health Canada (2012) suggests that </w:t>
      </w:r>
      <w:proofErr w:type="spellStart"/>
      <w:r w:rsidRPr="001F743E">
        <w:t>secchi</w:t>
      </w:r>
      <w:proofErr w:type="spellEnd"/>
      <w:r w:rsidRPr="001F743E">
        <w:t xml:space="preserve"> depth should be visible at a minimum of 1.2-meter depth for healthy aquatic life and recreational purposes . In learn to swim areas; the </w:t>
      </w:r>
      <w:proofErr w:type="spellStart"/>
      <w:r w:rsidRPr="001F743E">
        <w:t>secchi</w:t>
      </w:r>
      <w:proofErr w:type="spellEnd"/>
      <w:r w:rsidRPr="001F743E">
        <w:t xml:space="preserve"> disk should be visible at bottom so swimmers are able estimate water depth, steer clear of any hazards including rocks, and so submerged or distressed swimmers can be easily detected (Health Canada, 2012). </w:t>
      </w:r>
    </w:p>
    <w:p w:rsidR="00AD02D3" w:rsidRPr="001F743E" w:rsidRDefault="00AD02D3" w:rsidP="00AD02D3"/>
    <w:p w:rsidR="00AD02D3" w:rsidRPr="001F743E" w:rsidRDefault="00AD02D3" w:rsidP="00AD02D3">
      <w:pPr>
        <w:widowControl w:val="0"/>
        <w:autoSpaceDE w:val="0"/>
        <w:autoSpaceDN w:val="0"/>
        <w:adjustRightInd w:val="0"/>
        <w:spacing w:after="240"/>
        <w:rPr>
          <w:b/>
        </w:rPr>
      </w:pPr>
      <w:r w:rsidRPr="001F743E">
        <w:rPr>
          <w:b/>
        </w:rPr>
        <w:t xml:space="preserve">Nitrate and Nitrite: </w:t>
      </w:r>
      <w:r w:rsidRPr="001F743E">
        <w:rPr>
          <w:b/>
        </w:rPr>
        <w:br/>
      </w:r>
      <w:r w:rsidRPr="001F743E">
        <w:t xml:space="preserve"> </w:t>
      </w:r>
      <w:r w:rsidRPr="001F743E">
        <w:tab/>
        <w:t xml:space="preserve">Nitrogen is a naturally occurring chemical in the environment that can be converted into nitrate and nitrite through oxidation (CCME, 2009). Anthropogenic influences such as fertilizer runoff from farms and residential lawns, waste water systems, industries, and acid rain from pollution add to the increase of nitrogen levels in lakes (CCME, 2009). In small concentrations nitrogen is essential for the growth of aquatic plants (Anderson, et al., 2002). Increased nitrogen levels, coupled with elevated phosphorus levels can accelerate algal and plant growth leading to eutrophication (Anderson, et al., 2002). Resulting in an accumulation of decomposing plant material and species decline (Anderson, et al., 2002). Nitrate is not as toxic as nitrite for aquatic organisms, however it can have lethal impacts on organisms during their first stage of life (Anderson, et al., 2002).  An excess of nitrate and nitrite in lakes can be harmful to human health, if ingested it can cause shortness of breath or blueness of the skin (CCME, 2009). There are no set standards for acceptable levels of nitrate and nitrite in lakes, however the MOE has proposed maximum levels (MOE, 2001). For nitrate it is suggested that levels do not exceed 200mg/L for aquatic life, while nitrite has a recommended limit of 0.06mg/L (MOE, 2001). </w:t>
      </w:r>
    </w:p>
    <w:p w:rsidR="00AD02D3" w:rsidRPr="001F743E" w:rsidRDefault="00AD02D3" w:rsidP="00AD02D3">
      <w:pPr>
        <w:widowControl w:val="0"/>
        <w:autoSpaceDE w:val="0"/>
        <w:autoSpaceDN w:val="0"/>
        <w:adjustRightInd w:val="0"/>
        <w:spacing w:after="240"/>
        <w:rPr>
          <w:b/>
        </w:rPr>
      </w:pPr>
      <w:r w:rsidRPr="001F743E">
        <w:rPr>
          <w:b/>
        </w:rPr>
        <w:t>Total Phosphorus and Orthophosphate:</w:t>
      </w:r>
    </w:p>
    <w:p w:rsidR="00AD02D3" w:rsidRPr="001F743E" w:rsidRDefault="00AD02D3" w:rsidP="00AD02D3">
      <w:r w:rsidRPr="001F743E">
        <w:tab/>
        <w:t>Phosphorus is an essential nutrient for an aquatic ecosystem as it contributes to the biological metabolism of species (CCME, 2004). However, phosphorus is the most common nutrient to limit the biological productivity of an aquatic ecosystem (</w:t>
      </w:r>
      <w:proofErr w:type="spellStart"/>
      <w:r w:rsidRPr="001F743E">
        <w:t>Correll</w:t>
      </w:r>
      <w:proofErr w:type="spellEnd"/>
      <w:r w:rsidRPr="001F743E">
        <w:t>, 1998). A low concentration of phosphorus within a water body will contribute to a diverse, abundant, and self-sustaining aquatic life (CCME, 2004). Elevated levels of phosphorus will have a direct inverse affect on the ecosystem and can cause eutrophication within the water body (</w:t>
      </w:r>
      <w:proofErr w:type="spellStart"/>
      <w:r w:rsidRPr="001F743E">
        <w:t>Correll</w:t>
      </w:r>
      <w:proofErr w:type="spellEnd"/>
      <w:r w:rsidRPr="001F743E">
        <w:t xml:space="preserve">, 1998).  An increased level of phosphorus can be detrimental as it decreases biodiversity, changes the dominant biota, and decreases sensitive species while creating a habitat for tolerant species (CCME, 2004). As phosphorus levels increase so do the biomass, organic matter, and turbidity levels within the water body (CCME, 2004). Elevated phosphorus levels can affect anthropogenic preferences by creating an unsafe environment for human health in places like swimming areas, increasing the cost of treating potable water, and causing the species imported for recreational use to disappear (CCME, 2004). </w:t>
      </w:r>
    </w:p>
    <w:p w:rsidR="00AD02D3" w:rsidRPr="001F743E" w:rsidRDefault="00AD02D3" w:rsidP="00AD02D3">
      <w:r w:rsidRPr="001F743E">
        <w:lastRenderedPageBreak/>
        <w:tab/>
        <w:t>There are many ways in which the excess amounts of phosphorus are being deposited into lakes, through fertilizer runoff, septic systems, residential lawns, and storm water inputs (</w:t>
      </w:r>
      <w:proofErr w:type="spellStart"/>
      <w:r w:rsidRPr="001F743E">
        <w:t>Litke</w:t>
      </w:r>
      <w:proofErr w:type="spellEnd"/>
      <w:r w:rsidRPr="001F743E">
        <w:t>, 1999). Phosphorus is also a naturally occurring nutrient in the environment and is dependent on the soil and rock influences throughout the surrounding area (</w:t>
      </w:r>
      <w:proofErr w:type="spellStart"/>
      <w:r w:rsidRPr="001F743E">
        <w:t>Litke</w:t>
      </w:r>
      <w:proofErr w:type="spellEnd"/>
      <w:r w:rsidRPr="001F743E">
        <w:t xml:space="preserve">, 1999). Total Phosphorus is the measurement of condensed phosphate, orthophosphate, and organic phosphate (Kurtz, et al., 2012). Orthophosphate is the soluble and inorganic form of phosphorus that influential for algae growth (Kurtz, et al., 2012). </w:t>
      </w:r>
    </w:p>
    <w:p w:rsidR="00AD02D3" w:rsidRPr="001F743E" w:rsidRDefault="00AD02D3" w:rsidP="00AD02D3">
      <w:r w:rsidRPr="001F743E">
        <w:tab/>
        <w:t xml:space="preserve">There are no National standards for total phosphorus or orthophosphate levels in fresh water lakes (CCME, 2004). However, there is a trigger range that outlines the desired levels of total phosphorus in different trophic lakes (CCME, 2004).  The Ministry of Environment has created guidelines for total phosphorus levels. To prevent excess algae growth total phosphorus should not surpass 20ųg/L, and for aesthetic or recreational concerns total phosphorus should not surpass 10ųg/L (MOEE, 1994). </w:t>
      </w:r>
    </w:p>
    <w:p w:rsidR="00AD02D3" w:rsidRPr="001F743E" w:rsidRDefault="00AD02D3" w:rsidP="00AD02D3">
      <w:pPr>
        <w:rPr>
          <w:b/>
          <w:sz w:val="28"/>
          <w:u w:val="single"/>
        </w:rPr>
      </w:pPr>
    </w:p>
    <w:p w:rsidR="00AD02D3" w:rsidRPr="001F743E" w:rsidRDefault="00AD02D3" w:rsidP="00AD02D3">
      <w:pPr>
        <w:rPr>
          <w:b/>
          <w:sz w:val="28"/>
          <w:u w:val="single"/>
        </w:rPr>
      </w:pPr>
    </w:p>
    <w:p w:rsidR="00AD02D3" w:rsidRPr="001F743E" w:rsidRDefault="00AD02D3" w:rsidP="00AD02D3">
      <w:pPr>
        <w:rPr>
          <w:b/>
          <w:sz w:val="28"/>
          <w:u w:val="single"/>
        </w:rPr>
      </w:pPr>
      <w:r w:rsidRPr="001F743E">
        <w:rPr>
          <w:b/>
          <w:sz w:val="28"/>
          <w:u w:val="single"/>
        </w:rPr>
        <w:t>4.0 Mary Lake</w:t>
      </w:r>
    </w:p>
    <w:p w:rsidR="00AD02D3" w:rsidRPr="001F743E" w:rsidRDefault="00AD02D3" w:rsidP="00AD02D3">
      <w:pPr>
        <w:ind w:firstLine="720"/>
      </w:pPr>
      <w:r w:rsidRPr="001F743E">
        <w:t xml:space="preserve">Mary Lake is located south of Huntsville on Muskoka District Rd 10. There are two main inflows for this lake: Jackson's creek on the east side, and the inflow from Fairy Lake on the north end. The major outflow is through the Muskoka River at the south end of the lake. Mary Lake is home to many residential and seasonal cottagers, as well as a summer camp.  The shoreline is fairly developed and many of the homes have lawns that extend to the water's edge, the eight large islands are the prominent features within the lake. Agricultural land is present on the east side of the lake in a bay near Jackson's creek. </w:t>
      </w:r>
    </w:p>
    <w:p w:rsidR="00AD02D3" w:rsidRPr="001F743E" w:rsidRDefault="00AD02D3" w:rsidP="00AD02D3">
      <w:pPr>
        <w:rPr>
          <w:sz w:val="28"/>
        </w:rPr>
      </w:pPr>
    </w:p>
    <w:p w:rsidR="00AD02D3" w:rsidRPr="001F743E" w:rsidRDefault="00AD02D3" w:rsidP="00AD02D3">
      <w:pPr>
        <w:rPr>
          <w:b/>
          <w:sz w:val="28"/>
        </w:rPr>
      </w:pPr>
      <w:r w:rsidRPr="001F743E">
        <w:rPr>
          <w:b/>
          <w:sz w:val="28"/>
        </w:rPr>
        <w:t>4.1 Map of Mary Lake</w:t>
      </w:r>
    </w:p>
    <w:p w:rsidR="00AD02D3" w:rsidRPr="001F743E" w:rsidRDefault="00AD02D3" w:rsidP="00AD02D3">
      <w:r>
        <w:rPr>
          <w:noProof/>
        </w:rPr>
        <w:lastRenderedPageBreak/>
        <w:drawing>
          <wp:inline distT="0" distB="0" distL="0" distR="0">
            <wp:extent cx="6175375" cy="3895090"/>
            <wp:effectExtent l="19050" t="0" r="0" b="0"/>
            <wp:docPr id="1" name="Picture 1" descr="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531" t="8356" r="16464" b="16458"/>
                    <a:stretch>
                      <a:fillRect/>
                    </a:stretch>
                  </pic:blipFill>
                  <pic:spPr bwMode="auto">
                    <a:xfrm>
                      <a:off x="0" y="0"/>
                      <a:ext cx="6175375" cy="3895090"/>
                    </a:xfrm>
                    <a:prstGeom prst="rect">
                      <a:avLst/>
                    </a:prstGeom>
                    <a:noFill/>
                    <a:ln>
                      <a:noFill/>
                    </a:ln>
                  </pic:spPr>
                </pic:pic>
              </a:graphicData>
            </a:graphic>
          </wp:inline>
        </w:drawing>
      </w:r>
    </w:p>
    <w:tbl>
      <w:tblPr>
        <w:tblpPr w:leftFromText="180" w:rightFromText="180" w:vertAnchor="text" w:horzAnchor="page" w:tblpX="1076" w:tblpY="-719"/>
        <w:tblW w:w="10349" w:type="dxa"/>
        <w:tblLayout w:type="fixed"/>
        <w:tblLook w:val="04A0"/>
      </w:tblPr>
      <w:tblGrid>
        <w:gridCol w:w="2032"/>
        <w:gridCol w:w="1939"/>
        <w:gridCol w:w="1558"/>
        <w:gridCol w:w="2175"/>
        <w:gridCol w:w="2645"/>
      </w:tblGrid>
      <w:tr w:rsidR="00AD02D3" w:rsidRPr="001F743E" w:rsidTr="00A21002">
        <w:trPr>
          <w:trHeight w:val="616"/>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b/>
                <w:color w:val="000000"/>
                <w:sz w:val="28"/>
              </w:rPr>
            </w:pPr>
            <w:r w:rsidRPr="001F743E">
              <w:rPr>
                <w:rFonts w:eastAsia="Times New Roman"/>
                <w:b/>
                <w:color w:val="000000"/>
                <w:sz w:val="28"/>
              </w:rPr>
              <w:lastRenderedPageBreak/>
              <w:t>4.2 Mary Lake</w:t>
            </w:r>
          </w:p>
          <w:p w:rsidR="00AD02D3" w:rsidRPr="001F743E" w:rsidRDefault="00AD02D3" w:rsidP="00A21002">
            <w:pPr>
              <w:jc w:val="center"/>
              <w:rPr>
                <w:rFonts w:eastAsia="Times New Roman"/>
                <w:color w:val="000000"/>
              </w:rPr>
            </w:pPr>
            <w:r w:rsidRPr="001F743E">
              <w:rPr>
                <w:rFonts w:eastAsia="Times New Roman"/>
                <w:b/>
                <w:color w:val="000000"/>
                <w:sz w:val="28"/>
              </w:rPr>
              <w:t>Field Data</w:t>
            </w:r>
          </w:p>
        </w:tc>
      </w:tr>
      <w:tr w:rsidR="00AD02D3" w:rsidRPr="001F743E" w:rsidTr="00A21002">
        <w:trPr>
          <w:trHeight w:val="30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Day 1: July 16, 2014</w:t>
            </w:r>
            <w:r w:rsidRPr="001F743E">
              <w:rPr>
                <w:rFonts w:eastAsia="Times New Roman"/>
                <w:color w:val="000000"/>
              </w:rPr>
              <w:br/>
              <w:t xml:space="preserve">Time: </w:t>
            </w:r>
          </w:p>
        </w:tc>
        <w:tc>
          <w:tcPr>
            <w:tcW w:w="4820" w:type="dxa"/>
            <w:gridSpan w:val="2"/>
            <w:tcBorders>
              <w:top w:val="single" w:sz="4"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Day 2: July 25 2014</w:t>
            </w:r>
            <w:r w:rsidRPr="001F743E">
              <w:rPr>
                <w:rFonts w:eastAsia="Times New Roman"/>
                <w:color w:val="000000"/>
              </w:rPr>
              <w:br/>
              <w:t xml:space="preserve">Time: </w:t>
            </w:r>
          </w:p>
        </w:tc>
      </w:tr>
      <w:tr w:rsidR="00AD02D3" w:rsidRPr="001F743E" w:rsidTr="00A21002">
        <w:trPr>
          <w:trHeight w:val="300"/>
        </w:trPr>
        <w:tc>
          <w:tcPr>
            <w:tcW w:w="5529"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tcPr>
          <w:p w:rsidR="00AD02D3" w:rsidRPr="001F743E" w:rsidRDefault="00AD02D3" w:rsidP="00A21002">
            <w:pPr>
              <w:jc w:val="center"/>
              <w:rPr>
                <w:rFonts w:eastAsia="Times New Roman"/>
                <w:b/>
                <w:color w:val="000000"/>
              </w:rPr>
            </w:pPr>
            <w:r w:rsidRPr="001F743E">
              <w:rPr>
                <w:rFonts w:eastAsia="Times New Roman"/>
                <w:b/>
                <w:color w:val="000000"/>
              </w:rPr>
              <w:t>Weather Conditions</w:t>
            </w:r>
          </w:p>
        </w:tc>
        <w:tc>
          <w:tcPr>
            <w:tcW w:w="4820" w:type="dxa"/>
            <w:gridSpan w:val="2"/>
            <w:tcBorders>
              <w:top w:val="single" w:sz="4" w:space="0" w:color="auto"/>
              <w:left w:val="nil"/>
              <w:bottom w:val="single" w:sz="4" w:space="0" w:color="auto"/>
              <w:right w:val="single" w:sz="4" w:space="0" w:color="auto"/>
            </w:tcBorders>
            <w:shd w:val="clear" w:color="000000" w:fill="D9D9D9"/>
            <w:noWrap/>
            <w:vAlign w:val="bottom"/>
          </w:tcPr>
          <w:p w:rsidR="00AD02D3" w:rsidRPr="001F743E" w:rsidRDefault="00AD02D3" w:rsidP="00A21002">
            <w:pPr>
              <w:jc w:val="center"/>
              <w:rPr>
                <w:rFonts w:eastAsia="Times New Roman"/>
                <w:b/>
                <w:color w:val="000000"/>
              </w:rPr>
            </w:pPr>
            <w:r w:rsidRPr="001F743E">
              <w:rPr>
                <w:rFonts w:eastAsia="Times New Roman"/>
                <w:b/>
                <w:color w:val="000000"/>
              </w:rPr>
              <w:t>Weather Conditions</w:t>
            </w:r>
          </w:p>
        </w:tc>
      </w:tr>
      <w:tr w:rsidR="00AD02D3" w:rsidRPr="001F743E" w:rsidTr="00A21002">
        <w:trPr>
          <w:trHeight w:val="300"/>
        </w:trPr>
        <w:tc>
          <w:tcPr>
            <w:tcW w:w="5529"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cPr>
          <w:p w:rsidR="00AD02D3" w:rsidRPr="001F743E" w:rsidRDefault="00AD02D3" w:rsidP="00A21002">
            <w:pPr>
              <w:jc w:val="center"/>
              <w:rPr>
                <w:rFonts w:eastAsia="Times New Roman"/>
                <w:color w:val="000000"/>
              </w:rPr>
            </w:pPr>
            <w:r w:rsidRPr="001F743E">
              <w:rPr>
                <w:rFonts w:eastAsia="Times New Roman"/>
                <w:color w:val="000000"/>
              </w:rPr>
              <w:t>Beginning: Wind: 0.4m/s, Humidity: 84.7%, Temperature: 18.6°C, sunny</w:t>
            </w:r>
          </w:p>
        </w:tc>
        <w:tc>
          <w:tcPr>
            <w:tcW w:w="48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rsidR="00AD02D3" w:rsidRPr="001F743E" w:rsidRDefault="00AD02D3" w:rsidP="00A21002">
            <w:pPr>
              <w:jc w:val="center"/>
              <w:rPr>
                <w:rFonts w:eastAsia="Times New Roman"/>
                <w:color w:val="000000"/>
              </w:rPr>
            </w:pPr>
            <w:r w:rsidRPr="001F743E">
              <w:rPr>
                <w:rFonts w:eastAsia="Times New Roman"/>
                <w:color w:val="000000"/>
              </w:rPr>
              <w:t>Beginning: Wind: 1.5m/s, Humidity: 83.7%, Temperature: 16.9°C, clear blue sky, sunny</w:t>
            </w:r>
          </w:p>
        </w:tc>
      </w:tr>
      <w:tr w:rsidR="00AD02D3" w:rsidRPr="001F743E" w:rsidTr="00A21002">
        <w:trPr>
          <w:trHeight w:val="300"/>
        </w:trPr>
        <w:tc>
          <w:tcPr>
            <w:tcW w:w="5529" w:type="dxa"/>
            <w:gridSpan w:val="3"/>
            <w:vMerge/>
            <w:tcBorders>
              <w:top w:val="single" w:sz="4" w:space="0" w:color="auto"/>
              <w:left w:val="single" w:sz="4" w:space="0" w:color="auto"/>
              <w:bottom w:val="single" w:sz="4" w:space="0" w:color="auto"/>
              <w:right w:val="single" w:sz="4" w:space="0" w:color="auto"/>
            </w:tcBorders>
            <w:vAlign w:val="center"/>
          </w:tcPr>
          <w:p w:rsidR="00AD02D3" w:rsidRPr="001F743E" w:rsidRDefault="00AD02D3" w:rsidP="00A21002">
            <w:pPr>
              <w:rPr>
                <w:rFonts w:eastAsia="Times New Roman"/>
                <w:color w:val="000000"/>
              </w:rPr>
            </w:pP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rsidR="00AD02D3" w:rsidRPr="001F743E" w:rsidRDefault="00AD02D3" w:rsidP="00A21002">
            <w:pPr>
              <w:rPr>
                <w:rFonts w:eastAsia="Times New Roman"/>
                <w:color w:val="000000"/>
              </w:rPr>
            </w:pPr>
          </w:p>
        </w:tc>
      </w:tr>
      <w:tr w:rsidR="00AD02D3" w:rsidRPr="001F743E" w:rsidTr="00A21002">
        <w:trPr>
          <w:trHeight w:val="300"/>
        </w:trPr>
        <w:tc>
          <w:tcPr>
            <w:tcW w:w="5529"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cPr>
          <w:p w:rsidR="00AD02D3" w:rsidRPr="001F743E" w:rsidRDefault="00AD02D3" w:rsidP="00A21002">
            <w:pPr>
              <w:jc w:val="center"/>
              <w:rPr>
                <w:rFonts w:eastAsia="Times New Roman"/>
                <w:color w:val="000000"/>
              </w:rPr>
            </w:pPr>
            <w:r w:rsidRPr="001F743E">
              <w:rPr>
                <w:rFonts w:eastAsia="Times New Roman"/>
                <w:color w:val="000000"/>
              </w:rPr>
              <w:t xml:space="preserve">End: Wind: 1.3m/s, Humidity: 71.3%, Temperature: 18.5°C, sunny </w:t>
            </w:r>
          </w:p>
        </w:tc>
        <w:tc>
          <w:tcPr>
            <w:tcW w:w="48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rsidR="00AD02D3" w:rsidRPr="001F743E" w:rsidRDefault="00AD02D3" w:rsidP="00A21002">
            <w:pPr>
              <w:jc w:val="center"/>
              <w:rPr>
                <w:rFonts w:eastAsia="Times New Roman"/>
                <w:color w:val="000000"/>
              </w:rPr>
            </w:pPr>
            <w:r w:rsidRPr="001F743E">
              <w:rPr>
                <w:rFonts w:eastAsia="Times New Roman"/>
                <w:color w:val="000000"/>
              </w:rPr>
              <w:t>End: Wind: 3.8m/s, Humidity: 77%, Temperature: 18.3°C, sunny</w:t>
            </w:r>
          </w:p>
        </w:tc>
      </w:tr>
      <w:tr w:rsidR="00AD02D3" w:rsidRPr="001F743E" w:rsidTr="00A21002">
        <w:trPr>
          <w:trHeight w:val="300"/>
        </w:trPr>
        <w:tc>
          <w:tcPr>
            <w:tcW w:w="5529" w:type="dxa"/>
            <w:gridSpan w:val="3"/>
            <w:vMerge/>
            <w:tcBorders>
              <w:top w:val="single" w:sz="4" w:space="0" w:color="auto"/>
              <w:left w:val="single" w:sz="4" w:space="0" w:color="auto"/>
              <w:bottom w:val="single" w:sz="4" w:space="0" w:color="auto"/>
              <w:right w:val="single" w:sz="4" w:space="0" w:color="auto"/>
            </w:tcBorders>
            <w:vAlign w:val="center"/>
          </w:tcPr>
          <w:p w:rsidR="00AD02D3" w:rsidRPr="001F743E" w:rsidRDefault="00AD02D3" w:rsidP="00A21002">
            <w:pPr>
              <w:rPr>
                <w:rFonts w:eastAsia="Times New Roman"/>
                <w:color w:val="000000"/>
              </w:rPr>
            </w:pP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rsidR="00AD02D3" w:rsidRPr="001F743E" w:rsidRDefault="00AD02D3" w:rsidP="00A21002">
            <w:pPr>
              <w:rPr>
                <w:rFonts w:eastAsia="Times New Roman"/>
                <w:color w:val="000000"/>
              </w:rPr>
            </w:pPr>
          </w:p>
        </w:tc>
      </w:tr>
      <w:tr w:rsidR="00AD02D3" w:rsidRPr="001F743E" w:rsidTr="00A21002">
        <w:trPr>
          <w:trHeight w:val="300"/>
        </w:trPr>
        <w:tc>
          <w:tcPr>
            <w:tcW w:w="5529"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tcPr>
          <w:p w:rsidR="00AD02D3" w:rsidRPr="001F743E" w:rsidRDefault="00AD02D3" w:rsidP="00A21002">
            <w:pPr>
              <w:jc w:val="center"/>
              <w:rPr>
                <w:rFonts w:eastAsia="Times New Roman"/>
                <w:b/>
                <w:color w:val="000000"/>
              </w:rPr>
            </w:pPr>
            <w:r w:rsidRPr="001F743E">
              <w:rPr>
                <w:rFonts w:eastAsia="Times New Roman"/>
                <w:b/>
                <w:color w:val="000000"/>
              </w:rPr>
              <w:t>Lake Conditions</w:t>
            </w:r>
          </w:p>
        </w:tc>
        <w:tc>
          <w:tcPr>
            <w:tcW w:w="4820" w:type="dxa"/>
            <w:gridSpan w:val="2"/>
            <w:tcBorders>
              <w:top w:val="single" w:sz="4" w:space="0" w:color="auto"/>
              <w:left w:val="nil"/>
              <w:bottom w:val="single" w:sz="4" w:space="0" w:color="auto"/>
              <w:right w:val="single" w:sz="4" w:space="0" w:color="auto"/>
            </w:tcBorders>
            <w:shd w:val="clear" w:color="000000" w:fill="D9D9D9"/>
            <w:noWrap/>
            <w:vAlign w:val="bottom"/>
          </w:tcPr>
          <w:p w:rsidR="00AD02D3" w:rsidRPr="001F743E" w:rsidRDefault="00AD02D3" w:rsidP="00A21002">
            <w:pPr>
              <w:jc w:val="center"/>
              <w:rPr>
                <w:rFonts w:eastAsia="Times New Roman"/>
                <w:b/>
                <w:color w:val="000000"/>
              </w:rPr>
            </w:pPr>
            <w:r w:rsidRPr="001F743E">
              <w:rPr>
                <w:rFonts w:eastAsia="Times New Roman"/>
                <w:b/>
                <w:color w:val="000000"/>
              </w:rPr>
              <w:t xml:space="preserve">Lake Conditions </w:t>
            </w:r>
          </w:p>
        </w:tc>
      </w:tr>
      <w:tr w:rsidR="00AD02D3" w:rsidRPr="001F743E" w:rsidTr="00A21002">
        <w:trPr>
          <w:trHeight w:val="586"/>
        </w:trPr>
        <w:tc>
          <w:tcPr>
            <w:tcW w:w="5529"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spacing w:line="480" w:lineRule="auto"/>
              <w:rPr>
                <w:rFonts w:eastAsia="Times New Roman"/>
                <w:color w:val="000000"/>
              </w:rPr>
            </w:pPr>
            <w:r w:rsidRPr="001F743E">
              <w:rPr>
                <w:rFonts w:eastAsia="Times New Roman"/>
                <w:color w:val="000000"/>
              </w:rPr>
              <w:t>Lake was calm with no waves.</w:t>
            </w:r>
          </w:p>
        </w:tc>
        <w:tc>
          <w:tcPr>
            <w:tcW w:w="48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spacing w:line="480" w:lineRule="auto"/>
              <w:rPr>
                <w:rFonts w:eastAsia="Times New Roman"/>
                <w:color w:val="000000"/>
              </w:rPr>
            </w:pPr>
            <w:r w:rsidRPr="001F743E">
              <w:rPr>
                <w:rFonts w:eastAsia="Times New Roman"/>
                <w:color w:val="000000"/>
              </w:rPr>
              <w:t>Windy with many waves.</w:t>
            </w:r>
          </w:p>
        </w:tc>
      </w:tr>
      <w:tr w:rsidR="00AD02D3" w:rsidRPr="001F743E" w:rsidTr="00A21002">
        <w:trPr>
          <w:trHeight w:val="293"/>
        </w:trPr>
        <w:tc>
          <w:tcPr>
            <w:tcW w:w="5529" w:type="dxa"/>
            <w:gridSpan w:val="3"/>
            <w:vMerge/>
            <w:tcBorders>
              <w:top w:val="single" w:sz="4" w:space="0" w:color="auto"/>
              <w:left w:val="single" w:sz="4" w:space="0" w:color="auto"/>
              <w:bottom w:val="single" w:sz="4" w:space="0" w:color="auto"/>
              <w:right w:val="single" w:sz="4" w:space="0" w:color="auto"/>
            </w:tcBorders>
            <w:vAlign w:val="center"/>
          </w:tcPr>
          <w:p w:rsidR="00AD02D3" w:rsidRPr="001F743E" w:rsidRDefault="00AD02D3" w:rsidP="00A21002">
            <w:pPr>
              <w:rPr>
                <w:rFonts w:eastAsia="Times New Roman"/>
                <w:color w:val="000000"/>
              </w:rPr>
            </w:pP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rsidR="00AD02D3" w:rsidRPr="001F743E" w:rsidRDefault="00AD02D3" w:rsidP="00A21002">
            <w:pPr>
              <w:rPr>
                <w:rFonts w:eastAsia="Times New Roman"/>
                <w:color w:val="000000"/>
              </w:rPr>
            </w:pPr>
          </w:p>
        </w:tc>
      </w:tr>
      <w:tr w:rsidR="00AD02D3" w:rsidRPr="001F743E" w:rsidTr="00A21002">
        <w:trPr>
          <w:trHeight w:val="300"/>
        </w:trPr>
        <w:tc>
          <w:tcPr>
            <w:tcW w:w="2032" w:type="dxa"/>
            <w:tcBorders>
              <w:top w:val="nil"/>
              <w:left w:val="single" w:sz="4" w:space="0" w:color="auto"/>
              <w:bottom w:val="thinThickSmallGap" w:sz="18" w:space="0" w:color="auto"/>
              <w:right w:val="single" w:sz="4" w:space="0" w:color="auto"/>
            </w:tcBorders>
            <w:shd w:val="clear" w:color="000000" w:fill="F2F2F2"/>
            <w:noWrap/>
            <w:vAlign w:val="bottom"/>
          </w:tcPr>
          <w:p w:rsidR="00AD02D3" w:rsidRPr="001F743E" w:rsidRDefault="00AD02D3" w:rsidP="00A21002">
            <w:pPr>
              <w:spacing w:line="360" w:lineRule="auto"/>
              <w:jc w:val="center"/>
              <w:rPr>
                <w:rFonts w:eastAsia="Times New Roman"/>
                <w:color w:val="000000"/>
              </w:rPr>
            </w:pPr>
            <w:r w:rsidRPr="001F743E">
              <w:rPr>
                <w:rFonts w:eastAsia="Times New Roman"/>
                <w:color w:val="000000"/>
              </w:rPr>
              <w:t>Sample Site</w:t>
            </w:r>
          </w:p>
        </w:tc>
        <w:tc>
          <w:tcPr>
            <w:tcW w:w="1939" w:type="dxa"/>
            <w:tcBorders>
              <w:top w:val="nil"/>
              <w:left w:val="nil"/>
              <w:bottom w:val="thinThickSmallGap" w:sz="18" w:space="0" w:color="auto"/>
              <w:right w:val="single" w:sz="4" w:space="0" w:color="auto"/>
            </w:tcBorders>
            <w:shd w:val="clear" w:color="000000" w:fill="BFBFBF"/>
            <w:noWrap/>
            <w:vAlign w:val="bottom"/>
          </w:tcPr>
          <w:p w:rsidR="00AD02D3" w:rsidRPr="001F743E" w:rsidRDefault="00AD02D3" w:rsidP="00A21002">
            <w:pPr>
              <w:jc w:val="center"/>
              <w:rPr>
                <w:rFonts w:eastAsia="Times New Roman"/>
                <w:color w:val="000000"/>
              </w:rPr>
            </w:pPr>
            <w:r w:rsidRPr="001F743E">
              <w:rPr>
                <w:rFonts w:eastAsia="Times New Roman"/>
                <w:color w:val="000000"/>
              </w:rPr>
              <w:t>Sample Depth (m)</w:t>
            </w:r>
          </w:p>
        </w:tc>
        <w:tc>
          <w:tcPr>
            <w:tcW w:w="1558" w:type="dxa"/>
            <w:tcBorders>
              <w:top w:val="nil"/>
              <w:left w:val="nil"/>
              <w:bottom w:val="thinThickSmallGap" w:sz="18" w:space="0" w:color="auto"/>
              <w:right w:val="single" w:sz="4" w:space="0" w:color="auto"/>
            </w:tcBorders>
            <w:shd w:val="clear" w:color="000000" w:fill="F2F2F2"/>
            <w:noWrap/>
            <w:vAlign w:val="bottom"/>
          </w:tcPr>
          <w:p w:rsidR="00AD02D3" w:rsidRPr="001F743E" w:rsidRDefault="00AD02D3" w:rsidP="00A21002">
            <w:pPr>
              <w:jc w:val="center"/>
              <w:rPr>
                <w:rFonts w:eastAsia="Times New Roman"/>
                <w:color w:val="000000"/>
              </w:rPr>
            </w:pPr>
            <w:r w:rsidRPr="001F743E">
              <w:rPr>
                <w:rFonts w:eastAsia="Times New Roman"/>
                <w:color w:val="000000"/>
              </w:rPr>
              <w:t>Thermocline(Y/N)</w:t>
            </w:r>
          </w:p>
        </w:tc>
        <w:tc>
          <w:tcPr>
            <w:tcW w:w="2175" w:type="dxa"/>
            <w:tcBorders>
              <w:top w:val="single" w:sz="4" w:space="0" w:color="auto"/>
              <w:left w:val="nil"/>
              <w:bottom w:val="thinThickSmallGap" w:sz="18" w:space="0" w:color="auto"/>
              <w:right w:val="single" w:sz="4" w:space="0" w:color="auto"/>
            </w:tcBorders>
            <w:shd w:val="clear" w:color="000000" w:fill="BFBFBF"/>
            <w:noWrap/>
            <w:vAlign w:val="bottom"/>
          </w:tcPr>
          <w:p w:rsidR="00AD02D3" w:rsidRPr="001F743E" w:rsidRDefault="00AD02D3" w:rsidP="00A21002">
            <w:pPr>
              <w:spacing w:line="360" w:lineRule="auto"/>
              <w:jc w:val="center"/>
              <w:rPr>
                <w:rFonts w:eastAsia="Times New Roman"/>
                <w:color w:val="000000"/>
              </w:rPr>
            </w:pPr>
            <w:proofErr w:type="spellStart"/>
            <w:r w:rsidRPr="001F743E">
              <w:rPr>
                <w:rFonts w:eastAsia="Times New Roman"/>
                <w:color w:val="000000"/>
              </w:rPr>
              <w:t>Secchi</w:t>
            </w:r>
            <w:proofErr w:type="spellEnd"/>
            <w:r w:rsidRPr="001F743E">
              <w:rPr>
                <w:rFonts w:eastAsia="Times New Roman"/>
                <w:color w:val="000000"/>
              </w:rPr>
              <w:t xml:space="preserve"> Depth (m)</w:t>
            </w:r>
          </w:p>
        </w:tc>
        <w:tc>
          <w:tcPr>
            <w:tcW w:w="2645" w:type="dxa"/>
            <w:tcBorders>
              <w:top w:val="single" w:sz="4" w:space="0" w:color="auto"/>
              <w:left w:val="nil"/>
              <w:bottom w:val="thinThickSmallGap" w:sz="18" w:space="0" w:color="auto"/>
              <w:right w:val="single" w:sz="4" w:space="0" w:color="auto"/>
            </w:tcBorders>
            <w:shd w:val="clear" w:color="000000" w:fill="F2F2F2"/>
            <w:noWrap/>
            <w:vAlign w:val="bottom"/>
          </w:tcPr>
          <w:p w:rsidR="00AD02D3" w:rsidRPr="001F743E" w:rsidRDefault="00AD02D3" w:rsidP="00A21002">
            <w:pPr>
              <w:spacing w:line="360" w:lineRule="auto"/>
              <w:jc w:val="center"/>
              <w:rPr>
                <w:rFonts w:eastAsia="Times New Roman"/>
                <w:color w:val="000000"/>
              </w:rPr>
            </w:pPr>
            <w:r w:rsidRPr="001F743E">
              <w:rPr>
                <w:rFonts w:eastAsia="Times New Roman"/>
                <w:color w:val="000000"/>
              </w:rPr>
              <w:t>Sample Temp (°C)</w:t>
            </w:r>
          </w:p>
        </w:tc>
      </w:tr>
      <w:tr w:rsidR="00AD02D3" w:rsidRPr="001F743E" w:rsidTr="00A21002">
        <w:trPr>
          <w:trHeight w:val="300"/>
        </w:trPr>
        <w:tc>
          <w:tcPr>
            <w:tcW w:w="2032" w:type="dxa"/>
            <w:tcBorders>
              <w:top w:val="thinThickSmallGap" w:sz="18" w:space="0" w:color="auto"/>
              <w:left w:val="thinThickSmallGap" w:sz="18" w:space="0" w:color="auto"/>
              <w:bottom w:val="single" w:sz="4"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A1</w:t>
            </w:r>
          </w:p>
        </w:tc>
        <w:tc>
          <w:tcPr>
            <w:tcW w:w="1939"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4</w:t>
            </w:r>
          </w:p>
        </w:tc>
        <w:tc>
          <w:tcPr>
            <w:tcW w:w="1558"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N</w:t>
            </w:r>
          </w:p>
        </w:tc>
        <w:tc>
          <w:tcPr>
            <w:tcW w:w="2175"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2.75</w:t>
            </w:r>
          </w:p>
        </w:tc>
        <w:tc>
          <w:tcPr>
            <w:tcW w:w="2645" w:type="dxa"/>
            <w:tcBorders>
              <w:top w:val="thinThickSmallGap" w:sz="18" w:space="0" w:color="auto"/>
              <w:left w:val="nil"/>
              <w:bottom w:val="single" w:sz="4" w:space="0" w:color="auto"/>
              <w:right w:val="thickThinSmallGap" w:sz="18"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20.4</w:t>
            </w:r>
          </w:p>
        </w:tc>
      </w:tr>
      <w:tr w:rsidR="00AD02D3" w:rsidRPr="001F743E" w:rsidTr="00A21002">
        <w:trPr>
          <w:trHeight w:val="300"/>
        </w:trPr>
        <w:tc>
          <w:tcPr>
            <w:tcW w:w="2032" w:type="dxa"/>
            <w:tcBorders>
              <w:top w:val="single" w:sz="4" w:space="0" w:color="auto"/>
              <w:left w:val="thinThickSmallGap" w:sz="18" w:space="0" w:color="auto"/>
              <w:bottom w:val="thinThickSmallGap" w:sz="18"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A2</w:t>
            </w:r>
          </w:p>
        </w:tc>
        <w:tc>
          <w:tcPr>
            <w:tcW w:w="1939" w:type="dxa"/>
            <w:tcBorders>
              <w:top w:val="single" w:sz="4" w:space="0" w:color="auto"/>
              <w:left w:val="nil"/>
              <w:bottom w:val="thinThick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4</w:t>
            </w:r>
          </w:p>
        </w:tc>
        <w:tc>
          <w:tcPr>
            <w:tcW w:w="1558" w:type="dxa"/>
            <w:tcBorders>
              <w:top w:val="single" w:sz="4" w:space="0" w:color="auto"/>
              <w:left w:val="nil"/>
              <w:bottom w:val="thinThick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N</w:t>
            </w:r>
          </w:p>
        </w:tc>
        <w:tc>
          <w:tcPr>
            <w:tcW w:w="2175" w:type="dxa"/>
            <w:tcBorders>
              <w:top w:val="single" w:sz="4" w:space="0" w:color="auto"/>
              <w:left w:val="nil"/>
              <w:bottom w:val="thinThick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2.25</w:t>
            </w:r>
          </w:p>
        </w:tc>
        <w:tc>
          <w:tcPr>
            <w:tcW w:w="2645" w:type="dxa"/>
            <w:tcBorders>
              <w:top w:val="single" w:sz="4" w:space="0" w:color="auto"/>
              <w:left w:val="nil"/>
              <w:bottom w:val="thinThickSmallGap" w:sz="18" w:space="0" w:color="auto"/>
              <w:right w:val="thickThinSmallGap" w:sz="18"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21.4</w:t>
            </w:r>
          </w:p>
        </w:tc>
      </w:tr>
      <w:tr w:rsidR="00AD02D3" w:rsidRPr="001F743E" w:rsidTr="00A21002">
        <w:trPr>
          <w:trHeight w:val="300"/>
        </w:trPr>
        <w:tc>
          <w:tcPr>
            <w:tcW w:w="2032" w:type="dxa"/>
            <w:tcBorders>
              <w:top w:val="thinThickSmallGap" w:sz="18" w:space="0" w:color="auto"/>
              <w:left w:val="thinThickSmallGap" w:sz="18" w:space="0" w:color="auto"/>
              <w:bottom w:val="single" w:sz="4"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B1</w:t>
            </w:r>
          </w:p>
        </w:tc>
        <w:tc>
          <w:tcPr>
            <w:tcW w:w="1939"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8</w:t>
            </w:r>
          </w:p>
        </w:tc>
        <w:tc>
          <w:tcPr>
            <w:tcW w:w="1558"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Y</w:t>
            </w:r>
          </w:p>
        </w:tc>
        <w:tc>
          <w:tcPr>
            <w:tcW w:w="2175"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3.25</w:t>
            </w:r>
          </w:p>
        </w:tc>
        <w:tc>
          <w:tcPr>
            <w:tcW w:w="2645" w:type="dxa"/>
            <w:tcBorders>
              <w:top w:val="thinThickSmallGap" w:sz="18" w:space="0" w:color="auto"/>
              <w:left w:val="nil"/>
              <w:bottom w:val="single" w:sz="4" w:space="0" w:color="auto"/>
              <w:right w:val="thickThinSmallGap" w:sz="18"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11.8</w:t>
            </w:r>
          </w:p>
        </w:tc>
      </w:tr>
      <w:tr w:rsidR="00AD02D3" w:rsidRPr="001F743E" w:rsidTr="00A21002">
        <w:trPr>
          <w:trHeight w:val="300"/>
        </w:trPr>
        <w:tc>
          <w:tcPr>
            <w:tcW w:w="2032" w:type="dxa"/>
            <w:tcBorders>
              <w:top w:val="single" w:sz="4" w:space="0" w:color="auto"/>
              <w:left w:val="thinThickSmallGap" w:sz="18" w:space="0" w:color="auto"/>
              <w:bottom w:val="thinThickSmallGap" w:sz="18"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B2</w:t>
            </w:r>
          </w:p>
        </w:tc>
        <w:tc>
          <w:tcPr>
            <w:tcW w:w="1939" w:type="dxa"/>
            <w:tcBorders>
              <w:top w:val="single" w:sz="4" w:space="0" w:color="auto"/>
              <w:left w:val="nil"/>
              <w:bottom w:val="thinThick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9</w:t>
            </w:r>
          </w:p>
        </w:tc>
        <w:tc>
          <w:tcPr>
            <w:tcW w:w="1558" w:type="dxa"/>
            <w:tcBorders>
              <w:top w:val="single" w:sz="4" w:space="0" w:color="auto"/>
              <w:left w:val="nil"/>
              <w:bottom w:val="thinThick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Y</w:t>
            </w:r>
          </w:p>
        </w:tc>
        <w:tc>
          <w:tcPr>
            <w:tcW w:w="2175" w:type="dxa"/>
            <w:tcBorders>
              <w:top w:val="single" w:sz="4" w:space="0" w:color="auto"/>
              <w:left w:val="nil"/>
              <w:bottom w:val="thinThick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2.25</w:t>
            </w:r>
          </w:p>
        </w:tc>
        <w:tc>
          <w:tcPr>
            <w:tcW w:w="2645" w:type="dxa"/>
            <w:tcBorders>
              <w:top w:val="single" w:sz="4" w:space="0" w:color="auto"/>
              <w:left w:val="nil"/>
              <w:bottom w:val="thinThickSmallGap" w:sz="18" w:space="0" w:color="auto"/>
              <w:right w:val="thickThinSmallGap" w:sz="18"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18.1</w:t>
            </w:r>
          </w:p>
        </w:tc>
      </w:tr>
      <w:tr w:rsidR="00AD02D3" w:rsidRPr="001F743E" w:rsidTr="00A21002">
        <w:trPr>
          <w:trHeight w:val="300"/>
        </w:trPr>
        <w:tc>
          <w:tcPr>
            <w:tcW w:w="2032" w:type="dxa"/>
            <w:tcBorders>
              <w:top w:val="thinThickSmallGap" w:sz="18" w:space="0" w:color="auto"/>
              <w:left w:val="thinThickSmallGap" w:sz="18" w:space="0" w:color="auto"/>
              <w:bottom w:val="single" w:sz="4"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C1</w:t>
            </w:r>
          </w:p>
        </w:tc>
        <w:tc>
          <w:tcPr>
            <w:tcW w:w="1939"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9.5</w:t>
            </w:r>
          </w:p>
        </w:tc>
        <w:tc>
          <w:tcPr>
            <w:tcW w:w="1558"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Y</w:t>
            </w:r>
          </w:p>
        </w:tc>
        <w:tc>
          <w:tcPr>
            <w:tcW w:w="2175"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2.75</w:t>
            </w:r>
          </w:p>
        </w:tc>
        <w:tc>
          <w:tcPr>
            <w:tcW w:w="2645" w:type="dxa"/>
            <w:tcBorders>
              <w:top w:val="thinThickSmallGap" w:sz="18" w:space="0" w:color="auto"/>
              <w:left w:val="nil"/>
              <w:bottom w:val="single" w:sz="4" w:space="0" w:color="auto"/>
              <w:right w:val="thickThinSmallGap" w:sz="18"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8.7</w:t>
            </w:r>
          </w:p>
        </w:tc>
      </w:tr>
      <w:tr w:rsidR="00AD02D3" w:rsidRPr="001F743E" w:rsidTr="00A21002">
        <w:trPr>
          <w:trHeight w:val="300"/>
        </w:trPr>
        <w:tc>
          <w:tcPr>
            <w:tcW w:w="2032" w:type="dxa"/>
            <w:tcBorders>
              <w:top w:val="single" w:sz="4" w:space="0" w:color="auto"/>
              <w:left w:val="thinThickSmallGap" w:sz="18" w:space="0" w:color="auto"/>
              <w:bottom w:val="thinThickSmallGap" w:sz="18"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C2</w:t>
            </w:r>
          </w:p>
        </w:tc>
        <w:tc>
          <w:tcPr>
            <w:tcW w:w="1939" w:type="dxa"/>
            <w:tcBorders>
              <w:top w:val="single" w:sz="4" w:space="0" w:color="auto"/>
              <w:left w:val="nil"/>
              <w:bottom w:val="thinThick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10</w:t>
            </w:r>
          </w:p>
        </w:tc>
        <w:tc>
          <w:tcPr>
            <w:tcW w:w="1558" w:type="dxa"/>
            <w:tcBorders>
              <w:top w:val="single" w:sz="4" w:space="0" w:color="auto"/>
              <w:left w:val="nil"/>
              <w:bottom w:val="thinThick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Y</w:t>
            </w:r>
          </w:p>
        </w:tc>
        <w:tc>
          <w:tcPr>
            <w:tcW w:w="2175" w:type="dxa"/>
            <w:tcBorders>
              <w:top w:val="single" w:sz="4" w:space="0" w:color="auto"/>
              <w:left w:val="nil"/>
              <w:bottom w:val="thinThick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2.5</w:t>
            </w:r>
          </w:p>
        </w:tc>
        <w:tc>
          <w:tcPr>
            <w:tcW w:w="2645" w:type="dxa"/>
            <w:tcBorders>
              <w:top w:val="single" w:sz="4" w:space="0" w:color="auto"/>
              <w:left w:val="nil"/>
              <w:bottom w:val="thinThickSmallGap" w:sz="18" w:space="0" w:color="auto"/>
              <w:right w:val="thickThinSmallGap" w:sz="18"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9.8</w:t>
            </w:r>
          </w:p>
        </w:tc>
      </w:tr>
      <w:tr w:rsidR="00AD02D3" w:rsidRPr="001F743E" w:rsidTr="00A21002">
        <w:trPr>
          <w:trHeight w:val="300"/>
        </w:trPr>
        <w:tc>
          <w:tcPr>
            <w:tcW w:w="2032" w:type="dxa"/>
            <w:tcBorders>
              <w:top w:val="thinThickSmallGap" w:sz="18" w:space="0" w:color="auto"/>
              <w:left w:val="thinThickSmallGap" w:sz="18" w:space="0" w:color="auto"/>
              <w:bottom w:val="single" w:sz="4"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D1</w:t>
            </w:r>
          </w:p>
        </w:tc>
        <w:tc>
          <w:tcPr>
            <w:tcW w:w="1939"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9</w:t>
            </w:r>
          </w:p>
        </w:tc>
        <w:tc>
          <w:tcPr>
            <w:tcW w:w="1558"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Y</w:t>
            </w:r>
          </w:p>
        </w:tc>
        <w:tc>
          <w:tcPr>
            <w:tcW w:w="2175"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2.25</w:t>
            </w:r>
          </w:p>
        </w:tc>
        <w:tc>
          <w:tcPr>
            <w:tcW w:w="2645" w:type="dxa"/>
            <w:tcBorders>
              <w:top w:val="thinThickSmallGap" w:sz="18" w:space="0" w:color="auto"/>
              <w:left w:val="nil"/>
              <w:bottom w:val="single" w:sz="4" w:space="0" w:color="auto"/>
              <w:right w:val="thickThinSmallGap" w:sz="18"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11.6</w:t>
            </w:r>
          </w:p>
        </w:tc>
      </w:tr>
      <w:tr w:rsidR="00AD02D3" w:rsidRPr="001F743E" w:rsidTr="00A21002">
        <w:trPr>
          <w:trHeight w:val="300"/>
        </w:trPr>
        <w:tc>
          <w:tcPr>
            <w:tcW w:w="2032" w:type="dxa"/>
            <w:tcBorders>
              <w:top w:val="single" w:sz="4" w:space="0" w:color="auto"/>
              <w:left w:val="thinThickSmallGap" w:sz="18" w:space="0" w:color="auto"/>
              <w:bottom w:val="thinThickSmallGap" w:sz="18"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 xml:space="preserve">D2 </w:t>
            </w:r>
          </w:p>
        </w:tc>
        <w:tc>
          <w:tcPr>
            <w:tcW w:w="1939" w:type="dxa"/>
            <w:tcBorders>
              <w:top w:val="single" w:sz="4" w:space="0" w:color="auto"/>
              <w:left w:val="nil"/>
              <w:bottom w:val="thinThick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10.5</w:t>
            </w:r>
          </w:p>
        </w:tc>
        <w:tc>
          <w:tcPr>
            <w:tcW w:w="1558" w:type="dxa"/>
            <w:tcBorders>
              <w:top w:val="single" w:sz="4" w:space="0" w:color="auto"/>
              <w:left w:val="nil"/>
              <w:bottom w:val="thinThick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Y</w:t>
            </w:r>
          </w:p>
        </w:tc>
        <w:tc>
          <w:tcPr>
            <w:tcW w:w="2175" w:type="dxa"/>
            <w:tcBorders>
              <w:top w:val="single" w:sz="4" w:space="0" w:color="auto"/>
              <w:left w:val="nil"/>
              <w:bottom w:val="thinThick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2.25</w:t>
            </w:r>
          </w:p>
        </w:tc>
        <w:tc>
          <w:tcPr>
            <w:tcW w:w="2645" w:type="dxa"/>
            <w:tcBorders>
              <w:top w:val="single" w:sz="4" w:space="0" w:color="auto"/>
              <w:left w:val="nil"/>
              <w:bottom w:val="thinThickSmallGap" w:sz="18" w:space="0" w:color="auto"/>
              <w:right w:val="thickThinSmallGap" w:sz="18"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9.6</w:t>
            </w:r>
          </w:p>
        </w:tc>
      </w:tr>
      <w:tr w:rsidR="00AD02D3" w:rsidRPr="001F743E" w:rsidTr="00A21002">
        <w:trPr>
          <w:trHeight w:val="300"/>
        </w:trPr>
        <w:tc>
          <w:tcPr>
            <w:tcW w:w="2032" w:type="dxa"/>
            <w:tcBorders>
              <w:top w:val="thinThickSmallGap" w:sz="18" w:space="0" w:color="auto"/>
              <w:left w:val="thinThickSmallGap" w:sz="18" w:space="0" w:color="auto"/>
              <w:bottom w:val="single" w:sz="4"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E1</w:t>
            </w:r>
          </w:p>
        </w:tc>
        <w:tc>
          <w:tcPr>
            <w:tcW w:w="1939"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6</w:t>
            </w:r>
          </w:p>
        </w:tc>
        <w:tc>
          <w:tcPr>
            <w:tcW w:w="1558"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N</w:t>
            </w:r>
          </w:p>
        </w:tc>
        <w:tc>
          <w:tcPr>
            <w:tcW w:w="2175"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2.5</w:t>
            </w:r>
          </w:p>
        </w:tc>
        <w:tc>
          <w:tcPr>
            <w:tcW w:w="2645" w:type="dxa"/>
            <w:tcBorders>
              <w:top w:val="thinThickSmallGap" w:sz="18" w:space="0" w:color="auto"/>
              <w:left w:val="nil"/>
              <w:bottom w:val="single" w:sz="4" w:space="0" w:color="auto"/>
              <w:right w:val="thickThinSmallGap" w:sz="18"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19.5</w:t>
            </w:r>
          </w:p>
        </w:tc>
      </w:tr>
      <w:tr w:rsidR="00AD02D3" w:rsidRPr="001F743E" w:rsidTr="00A21002">
        <w:trPr>
          <w:trHeight w:val="300"/>
        </w:trPr>
        <w:tc>
          <w:tcPr>
            <w:tcW w:w="2032" w:type="dxa"/>
            <w:tcBorders>
              <w:top w:val="single" w:sz="4" w:space="0" w:color="auto"/>
              <w:left w:val="thinThickSmallGap" w:sz="18" w:space="0" w:color="auto"/>
              <w:bottom w:val="thinThickSmallGap" w:sz="18"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E2</w:t>
            </w:r>
          </w:p>
        </w:tc>
        <w:tc>
          <w:tcPr>
            <w:tcW w:w="1939" w:type="dxa"/>
            <w:tcBorders>
              <w:top w:val="single" w:sz="4" w:space="0" w:color="auto"/>
              <w:left w:val="nil"/>
              <w:bottom w:val="thinThick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7</w:t>
            </w:r>
          </w:p>
        </w:tc>
        <w:tc>
          <w:tcPr>
            <w:tcW w:w="1558" w:type="dxa"/>
            <w:tcBorders>
              <w:top w:val="single" w:sz="4" w:space="0" w:color="auto"/>
              <w:left w:val="nil"/>
              <w:bottom w:val="thinThick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N</w:t>
            </w:r>
          </w:p>
        </w:tc>
        <w:tc>
          <w:tcPr>
            <w:tcW w:w="2175" w:type="dxa"/>
            <w:tcBorders>
              <w:top w:val="single" w:sz="4" w:space="0" w:color="auto"/>
              <w:left w:val="nil"/>
              <w:bottom w:val="thinThick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2.5</w:t>
            </w:r>
          </w:p>
        </w:tc>
        <w:tc>
          <w:tcPr>
            <w:tcW w:w="2645" w:type="dxa"/>
            <w:tcBorders>
              <w:top w:val="single" w:sz="4" w:space="0" w:color="auto"/>
              <w:left w:val="nil"/>
              <w:bottom w:val="thinThickSmallGap" w:sz="18" w:space="0" w:color="auto"/>
              <w:right w:val="thickThinSmallGap" w:sz="18"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19.5</w:t>
            </w:r>
          </w:p>
        </w:tc>
      </w:tr>
      <w:tr w:rsidR="00AD02D3" w:rsidRPr="001F743E" w:rsidTr="00A21002">
        <w:trPr>
          <w:trHeight w:val="300"/>
        </w:trPr>
        <w:tc>
          <w:tcPr>
            <w:tcW w:w="2032" w:type="dxa"/>
            <w:tcBorders>
              <w:top w:val="thinThickSmallGap" w:sz="18" w:space="0" w:color="auto"/>
              <w:left w:val="thinThickSmallGap" w:sz="18" w:space="0" w:color="auto"/>
              <w:bottom w:val="single" w:sz="4"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F1</w:t>
            </w:r>
          </w:p>
        </w:tc>
        <w:tc>
          <w:tcPr>
            <w:tcW w:w="1939"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8.5</w:t>
            </w:r>
          </w:p>
        </w:tc>
        <w:tc>
          <w:tcPr>
            <w:tcW w:w="1558"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Y</w:t>
            </w:r>
          </w:p>
        </w:tc>
        <w:tc>
          <w:tcPr>
            <w:tcW w:w="2175" w:type="dxa"/>
            <w:tcBorders>
              <w:top w:val="thinThickSmallGap" w:sz="18"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2.25</w:t>
            </w:r>
          </w:p>
        </w:tc>
        <w:tc>
          <w:tcPr>
            <w:tcW w:w="2645" w:type="dxa"/>
            <w:tcBorders>
              <w:top w:val="thinThickSmallGap" w:sz="18" w:space="0" w:color="auto"/>
              <w:left w:val="nil"/>
              <w:bottom w:val="single" w:sz="4" w:space="0" w:color="auto"/>
              <w:right w:val="thickThinSmallGap" w:sz="18"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14.9</w:t>
            </w:r>
          </w:p>
        </w:tc>
      </w:tr>
      <w:tr w:rsidR="00AD02D3" w:rsidRPr="001F743E" w:rsidTr="00A21002">
        <w:trPr>
          <w:trHeight w:val="300"/>
        </w:trPr>
        <w:tc>
          <w:tcPr>
            <w:tcW w:w="2032" w:type="dxa"/>
            <w:tcBorders>
              <w:top w:val="single" w:sz="4" w:space="0" w:color="auto"/>
              <w:left w:val="thinThickSmallGap" w:sz="18" w:space="0" w:color="auto"/>
              <w:bottom w:val="thickThinSmallGap" w:sz="18"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F2</w:t>
            </w:r>
          </w:p>
        </w:tc>
        <w:tc>
          <w:tcPr>
            <w:tcW w:w="1939" w:type="dxa"/>
            <w:tcBorders>
              <w:top w:val="single" w:sz="4" w:space="0" w:color="auto"/>
              <w:left w:val="nil"/>
              <w:bottom w:val="thickThin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7</w:t>
            </w:r>
          </w:p>
        </w:tc>
        <w:tc>
          <w:tcPr>
            <w:tcW w:w="1558" w:type="dxa"/>
            <w:tcBorders>
              <w:top w:val="single" w:sz="4" w:space="0" w:color="auto"/>
              <w:left w:val="nil"/>
              <w:bottom w:val="thickThin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N</w:t>
            </w:r>
          </w:p>
        </w:tc>
        <w:tc>
          <w:tcPr>
            <w:tcW w:w="2175" w:type="dxa"/>
            <w:tcBorders>
              <w:top w:val="single" w:sz="4" w:space="0" w:color="auto"/>
              <w:left w:val="nil"/>
              <w:bottom w:val="thickThinSmallGap" w:sz="18"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2.25</w:t>
            </w:r>
          </w:p>
        </w:tc>
        <w:tc>
          <w:tcPr>
            <w:tcW w:w="2645" w:type="dxa"/>
            <w:tcBorders>
              <w:top w:val="single" w:sz="4" w:space="0" w:color="auto"/>
              <w:left w:val="nil"/>
              <w:bottom w:val="thickThinSmallGap" w:sz="18" w:space="0" w:color="auto"/>
              <w:right w:val="thickThinSmallGap" w:sz="18"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18.9</w:t>
            </w:r>
          </w:p>
        </w:tc>
      </w:tr>
      <w:tr w:rsidR="00AD02D3" w:rsidRPr="001F743E" w:rsidTr="00A21002">
        <w:trPr>
          <w:trHeight w:val="300"/>
        </w:trPr>
        <w:tc>
          <w:tcPr>
            <w:tcW w:w="2032" w:type="dxa"/>
            <w:tcBorders>
              <w:top w:val="nil"/>
              <w:left w:val="single" w:sz="4" w:space="0" w:color="auto"/>
              <w:bottom w:val="single" w:sz="4" w:space="0" w:color="auto"/>
              <w:right w:val="single" w:sz="4" w:space="0" w:color="auto"/>
            </w:tcBorders>
            <w:shd w:val="clear" w:color="auto" w:fill="D9D9D9"/>
            <w:noWrap/>
            <w:vAlign w:val="bottom"/>
          </w:tcPr>
          <w:p w:rsidR="00AD02D3" w:rsidRPr="001F743E" w:rsidRDefault="00AD02D3" w:rsidP="00A21002">
            <w:pPr>
              <w:jc w:val="center"/>
              <w:rPr>
                <w:rFonts w:eastAsia="Times New Roman"/>
                <w:b/>
                <w:color w:val="000000"/>
              </w:rPr>
            </w:pPr>
            <w:r w:rsidRPr="001F743E">
              <w:rPr>
                <w:rFonts w:eastAsia="Times New Roman"/>
                <w:b/>
                <w:color w:val="000000"/>
              </w:rPr>
              <w:t>Sampling Site</w:t>
            </w:r>
          </w:p>
        </w:tc>
        <w:tc>
          <w:tcPr>
            <w:tcW w:w="3497" w:type="dxa"/>
            <w:gridSpan w:val="2"/>
            <w:tcBorders>
              <w:top w:val="single" w:sz="4" w:space="0" w:color="auto"/>
              <w:left w:val="nil"/>
              <w:bottom w:val="single" w:sz="4" w:space="0" w:color="auto"/>
              <w:right w:val="single" w:sz="4" w:space="0" w:color="auto"/>
            </w:tcBorders>
            <w:shd w:val="clear" w:color="auto" w:fill="D9D9D9"/>
            <w:noWrap/>
            <w:vAlign w:val="bottom"/>
          </w:tcPr>
          <w:p w:rsidR="00AD02D3" w:rsidRPr="001F743E" w:rsidRDefault="00AD02D3" w:rsidP="00A21002">
            <w:pPr>
              <w:jc w:val="center"/>
              <w:rPr>
                <w:rFonts w:eastAsia="Times New Roman"/>
                <w:b/>
                <w:color w:val="000000"/>
              </w:rPr>
            </w:pPr>
            <w:r w:rsidRPr="001F743E">
              <w:rPr>
                <w:rFonts w:eastAsia="Times New Roman"/>
                <w:b/>
                <w:color w:val="000000"/>
              </w:rPr>
              <w:t>GPS Coordinates</w:t>
            </w:r>
          </w:p>
        </w:tc>
        <w:tc>
          <w:tcPr>
            <w:tcW w:w="4820" w:type="dxa"/>
            <w:gridSpan w:val="2"/>
            <w:tcBorders>
              <w:top w:val="single" w:sz="4" w:space="0" w:color="auto"/>
              <w:left w:val="nil"/>
              <w:bottom w:val="single" w:sz="4" w:space="0" w:color="auto"/>
              <w:right w:val="single" w:sz="4" w:space="0" w:color="auto"/>
            </w:tcBorders>
            <w:shd w:val="clear" w:color="auto" w:fill="D9D9D9"/>
            <w:noWrap/>
            <w:vAlign w:val="bottom"/>
          </w:tcPr>
          <w:p w:rsidR="00AD02D3" w:rsidRPr="001F743E" w:rsidRDefault="00AD02D3" w:rsidP="00A21002">
            <w:pPr>
              <w:jc w:val="center"/>
              <w:rPr>
                <w:rFonts w:eastAsia="Times New Roman"/>
                <w:b/>
                <w:color w:val="000000"/>
              </w:rPr>
            </w:pPr>
            <w:r w:rsidRPr="001F743E">
              <w:rPr>
                <w:rFonts w:eastAsia="Times New Roman"/>
                <w:b/>
                <w:color w:val="000000"/>
              </w:rPr>
              <w:t>Site Description</w:t>
            </w:r>
          </w:p>
        </w:tc>
      </w:tr>
      <w:tr w:rsidR="00AD02D3" w:rsidRPr="001F743E" w:rsidTr="00A21002">
        <w:trPr>
          <w:trHeight w:val="300"/>
        </w:trPr>
        <w:tc>
          <w:tcPr>
            <w:tcW w:w="2032" w:type="dxa"/>
            <w:tcBorders>
              <w:top w:val="nil"/>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A</w:t>
            </w:r>
          </w:p>
        </w:tc>
        <w:tc>
          <w:tcPr>
            <w:tcW w:w="3497" w:type="dxa"/>
            <w:gridSpan w:val="2"/>
            <w:tcBorders>
              <w:top w:val="single" w:sz="4"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N45° 15' 58.3" W-079° 13' 58.3"</w:t>
            </w:r>
          </w:p>
        </w:tc>
        <w:tc>
          <w:tcPr>
            <w:tcW w:w="4820" w:type="dxa"/>
            <w:gridSpan w:val="2"/>
            <w:tcBorders>
              <w:top w:val="single" w:sz="4"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Close to input from Fairy Lake and a commercial resort </w:t>
            </w:r>
          </w:p>
        </w:tc>
      </w:tr>
      <w:tr w:rsidR="00AD02D3" w:rsidRPr="001F743E" w:rsidTr="00A21002">
        <w:trPr>
          <w:trHeight w:val="300"/>
        </w:trPr>
        <w:tc>
          <w:tcPr>
            <w:tcW w:w="2032" w:type="dxa"/>
            <w:tcBorders>
              <w:top w:val="nil"/>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B</w:t>
            </w:r>
          </w:p>
        </w:tc>
        <w:tc>
          <w:tcPr>
            <w:tcW w:w="3497" w:type="dxa"/>
            <w:gridSpan w:val="2"/>
            <w:tcBorders>
              <w:top w:val="single" w:sz="4"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N45° 15' 12.9" W-079° 16' 02.3"</w:t>
            </w:r>
          </w:p>
        </w:tc>
        <w:tc>
          <w:tcPr>
            <w:tcW w:w="4820" w:type="dxa"/>
            <w:gridSpan w:val="2"/>
            <w:tcBorders>
              <w:top w:val="single" w:sz="4"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Close to a river inflow, a farm field was visible from the boat, developed shoreline </w:t>
            </w:r>
          </w:p>
        </w:tc>
      </w:tr>
      <w:tr w:rsidR="00AD02D3" w:rsidRPr="001F743E" w:rsidTr="00A21002">
        <w:trPr>
          <w:trHeight w:val="300"/>
        </w:trPr>
        <w:tc>
          <w:tcPr>
            <w:tcW w:w="2032" w:type="dxa"/>
            <w:tcBorders>
              <w:top w:val="nil"/>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C</w:t>
            </w:r>
          </w:p>
        </w:tc>
        <w:tc>
          <w:tcPr>
            <w:tcW w:w="3497" w:type="dxa"/>
            <w:gridSpan w:val="2"/>
            <w:tcBorders>
              <w:top w:val="single" w:sz="4"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N45° 14' 48.6" W-079° 15' 22.9"</w:t>
            </w:r>
          </w:p>
        </w:tc>
        <w:tc>
          <w:tcPr>
            <w:tcW w:w="4820" w:type="dxa"/>
            <w:gridSpan w:val="2"/>
            <w:tcBorders>
              <w:top w:val="single" w:sz="4"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Middle of main basin, across from a summer camp </w:t>
            </w:r>
          </w:p>
        </w:tc>
      </w:tr>
      <w:tr w:rsidR="00AD02D3" w:rsidRPr="001F743E" w:rsidTr="00A21002">
        <w:trPr>
          <w:trHeight w:val="300"/>
        </w:trPr>
        <w:tc>
          <w:tcPr>
            <w:tcW w:w="2032" w:type="dxa"/>
            <w:tcBorders>
              <w:top w:val="nil"/>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D</w:t>
            </w:r>
          </w:p>
        </w:tc>
        <w:tc>
          <w:tcPr>
            <w:tcW w:w="3497" w:type="dxa"/>
            <w:gridSpan w:val="2"/>
            <w:tcBorders>
              <w:top w:val="single" w:sz="4"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N45° 14' 10.3" W-079° 15' 02.9"</w:t>
            </w:r>
          </w:p>
        </w:tc>
        <w:tc>
          <w:tcPr>
            <w:tcW w:w="4820" w:type="dxa"/>
            <w:gridSpan w:val="2"/>
            <w:tcBorders>
              <w:top w:val="single" w:sz="4"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Close to Jackson's Creek, many cottages on the shoreline </w:t>
            </w:r>
          </w:p>
        </w:tc>
      </w:tr>
      <w:tr w:rsidR="00AD02D3" w:rsidRPr="001F743E" w:rsidTr="00A21002">
        <w:trPr>
          <w:trHeight w:val="300"/>
        </w:trPr>
        <w:tc>
          <w:tcPr>
            <w:tcW w:w="2032" w:type="dxa"/>
            <w:tcBorders>
              <w:top w:val="nil"/>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E</w:t>
            </w:r>
          </w:p>
        </w:tc>
        <w:tc>
          <w:tcPr>
            <w:tcW w:w="3497" w:type="dxa"/>
            <w:gridSpan w:val="2"/>
            <w:tcBorders>
              <w:top w:val="single" w:sz="4"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N45° 14' 08.3" W-079° 16' 10.2"</w:t>
            </w:r>
          </w:p>
        </w:tc>
        <w:tc>
          <w:tcPr>
            <w:tcW w:w="4820" w:type="dxa"/>
            <w:gridSpan w:val="2"/>
            <w:tcBorders>
              <w:top w:val="single" w:sz="4"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In between 2 islands, cottages on both sides</w:t>
            </w:r>
          </w:p>
        </w:tc>
      </w:tr>
      <w:tr w:rsidR="00AD02D3" w:rsidRPr="001F743E" w:rsidTr="00A21002">
        <w:trPr>
          <w:trHeight w:val="300"/>
        </w:trPr>
        <w:tc>
          <w:tcPr>
            <w:tcW w:w="2032" w:type="dxa"/>
            <w:tcBorders>
              <w:top w:val="nil"/>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rPr>
                <w:rFonts w:eastAsia="Times New Roman"/>
                <w:color w:val="000000"/>
              </w:rPr>
            </w:pPr>
            <w:r w:rsidRPr="001F743E">
              <w:rPr>
                <w:rFonts w:eastAsia="Times New Roman"/>
                <w:color w:val="000000"/>
              </w:rPr>
              <w:t>F</w:t>
            </w:r>
          </w:p>
        </w:tc>
        <w:tc>
          <w:tcPr>
            <w:tcW w:w="3497" w:type="dxa"/>
            <w:gridSpan w:val="2"/>
            <w:tcBorders>
              <w:top w:val="single" w:sz="4"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N45° 13' 23.2" W-079° 16' 35.5"</w:t>
            </w:r>
          </w:p>
        </w:tc>
        <w:tc>
          <w:tcPr>
            <w:tcW w:w="4820" w:type="dxa"/>
            <w:gridSpan w:val="2"/>
            <w:tcBorders>
              <w:top w:val="single" w:sz="4"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center"/>
              <w:rPr>
                <w:rFonts w:eastAsia="Times New Roman"/>
                <w:color w:val="000000"/>
              </w:rPr>
            </w:pPr>
            <w:r w:rsidRPr="001F743E">
              <w:rPr>
                <w:rFonts w:eastAsia="Times New Roman"/>
                <w:color w:val="000000"/>
              </w:rPr>
              <w:t xml:space="preserve">Near outflow of lake the </w:t>
            </w:r>
            <w:proofErr w:type="spellStart"/>
            <w:r w:rsidRPr="001F743E">
              <w:rPr>
                <w:rFonts w:eastAsia="Times New Roman"/>
                <w:color w:val="000000"/>
              </w:rPr>
              <w:t>Muskoka</w:t>
            </w:r>
            <w:proofErr w:type="spellEnd"/>
            <w:r w:rsidRPr="001F743E">
              <w:rPr>
                <w:rFonts w:eastAsia="Times New Roman"/>
                <w:color w:val="000000"/>
              </w:rPr>
              <w:t xml:space="preserve"> River to </w:t>
            </w:r>
            <w:proofErr w:type="spellStart"/>
            <w:r w:rsidRPr="001F743E">
              <w:rPr>
                <w:rFonts w:eastAsia="Times New Roman"/>
                <w:color w:val="000000"/>
              </w:rPr>
              <w:t>Bracebridge</w:t>
            </w:r>
            <w:proofErr w:type="spellEnd"/>
            <w:r w:rsidRPr="001F743E">
              <w:rPr>
                <w:rFonts w:eastAsia="Times New Roman"/>
                <w:color w:val="000000"/>
              </w:rPr>
              <w:t xml:space="preserve">, across </w:t>
            </w:r>
            <w:proofErr w:type="spellStart"/>
            <w:r w:rsidRPr="001F743E">
              <w:rPr>
                <w:rFonts w:eastAsia="Times New Roman"/>
                <w:color w:val="000000"/>
              </w:rPr>
              <w:t>form</w:t>
            </w:r>
            <w:proofErr w:type="spellEnd"/>
            <w:r w:rsidRPr="001F743E">
              <w:rPr>
                <w:rFonts w:eastAsia="Times New Roman"/>
                <w:color w:val="000000"/>
              </w:rPr>
              <w:t xml:space="preserve"> a public beach and boat launch </w:t>
            </w:r>
          </w:p>
        </w:tc>
      </w:tr>
    </w:tbl>
    <w:p w:rsidR="00AD02D3" w:rsidRPr="001F743E" w:rsidRDefault="00AD02D3" w:rsidP="00AD02D3"/>
    <w:p w:rsidR="00AD02D3" w:rsidRPr="001F743E" w:rsidRDefault="00AD02D3" w:rsidP="00AD02D3"/>
    <w:p w:rsidR="00AD02D3" w:rsidRPr="001F743E" w:rsidRDefault="00AD02D3" w:rsidP="00AD02D3"/>
    <w:p w:rsidR="00AD02D3" w:rsidRPr="001F743E" w:rsidRDefault="00AD02D3" w:rsidP="00AD02D3">
      <w:pPr>
        <w:rPr>
          <w:b/>
          <w:sz w:val="28"/>
        </w:rPr>
      </w:pPr>
      <w:r w:rsidRPr="001F743E">
        <w:rPr>
          <w:b/>
          <w:sz w:val="28"/>
        </w:rPr>
        <w:lastRenderedPageBreak/>
        <w:t xml:space="preserve">4.3 Mary Lake Lab Data and Results </w:t>
      </w:r>
    </w:p>
    <w:tbl>
      <w:tblPr>
        <w:tblW w:w="9780" w:type="dxa"/>
        <w:tblInd w:w="87" w:type="dxa"/>
        <w:tblLook w:val="0000"/>
      </w:tblPr>
      <w:tblGrid>
        <w:gridCol w:w="2065"/>
        <w:gridCol w:w="1060"/>
        <w:gridCol w:w="667"/>
        <w:gridCol w:w="1507"/>
        <w:gridCol w:w="1047"/>
        <w:gridCol w:w="995"/>
        <w:gridCol w:w="1326"/>
        <w:gridCol w:w="1113"/>
      </w:tblGrid>
      <w:tr w:rsidR="00AD02D3" w:rsidRPr="001F743E" w:rsidTr="00A21002">
        <w:trPr>
          <w:trHeight w:val="260"/>
        </w:trPr>
        <w:tc>
          <w:tcPr>
            <w:tcW w:w="20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D02D3" w:rsidRPr="001F743E" w:rsidRDefault="00AD02D3" w:rsidP="00A21002">
            <w:pPr>
              <w:rPr>
                <w:b/>
                <w:bCs/>
                <w:sz w:val="20"/>
                <w:szCs w:val="20"/>
              </w:rPr>
            </w:pPr>
            <w:r w:rsidRPr="001F743E">
              <w:rPr>
                <w:b/>
                <w:bCs/>
                <w:sz w:val="20"/>
                <w:szCs w:val="20"/>
              </w:rPr>
              <w:t>Site</w:t>
            </w:r>
          </w:p>
        </w:tc>
        <w:tc>
          <w:tcPr>
            <w:tcW w:w="1060" w:type="dxa"/>
            <w:vMerge w:val="restart"/>
            <w:tcBorders>
              <w:top w:val="single" w:sz="4" w:space="0" w:color="auto"/>
              <w:left w:val="single" w:sz="4" w:space="0" w:color="auto"/>
              <w:bottom w:val="single" w:sz="4" w:space="0" w:color="000000"/>
              <w:right w:val="nil"/>
            </w:tcBorders>
            <w:shd w:val="clear" w:color="auto" w:fill="auto"/>
            <w:noWrap/>
            <w:vAlign w:val="bottom"/>
          </w:tcPr>
          <w:p w:rsidR="00AD02D3" w:rsidRPr="001F743E" w:rsidRDefault="00AD02D3" w:rsidP="00A21002">
            <w:pPr>
              <w:rPr>
                <w:b/>
                <w:bCs/>
                <w:sz w:val="20"/>
                <w:szCs w:val="20"/>
              </w:rPr>
            </w:pPr>
            <w:r w:rsidRPr="001F743E">
              <w:rPr>
                <w:b/>
                <w:bCs/>
                <w:sz w:val="20"/>
                <w:szCs w:val="20"/>
              </w:rPr>
              <w:t>DO (mg/L)</w:t>
            </w:r>
          </w:p>
        </w:tc>
        <w:tc>
          <w:tcPr>
            <w:tcW w:w="6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D02D3" w:rsidRPr="001F743E" w:rsidRDefault="00AD02D3" w:rsidP="00A21002">
            <w:pPr>
              <w:rPr>
                <w:b/>
                <w:bCs/>
                <w:sz w:val="20"/>
                <w:szCs w:val="20"/>
              </w:rPr>
            </w:pPr>
            <w:r w:rsidRPr="001F743E">
              <w:rPr>
                <w:b/>
                <w:bCs/>
                <w:sz w:val="20"/>
                <w:szCs w:val="20"/>
              </w:rPr>
              <w:t>pH</w:t>
            </w:r>
          </w:p>
        </w:tc>
        <w:tc>
          <w:tcPr>
            <w:tcW w:w="1507" w:type="dxa"/>
            <w:vMerge w:val="restart"/>
            <w:tcBorders>
              <w:top w:val="single" w:sz="4" w:space="0" w:color="auto"/>
              <w:left w:val="nil"/>
              <w:bottom w:val="single" w:sz="4" w:space="0" w:color="000000"/>
              <w:right w:val="nil"/>
            </w:tcBorders>
            <w:shd w:val="clear" w:color="auto" w:fill="auto"/>
            <w:noWrap/>
            <w:vAlign w:val="bottom"/>
          </w:tcPr>
          <w:p w:rsidR="00AD02D3" w:rsidRPr="001F743E" w:rsidRDefault="00AD02D3" w:rsidP="00A21002">
            <w:pPr>
              <w:rPr>
                <w:b/>
                <w:bCs/>
                <w:sz w:val="20"/>
                <w:szCs w:val="20"/>
              </w:rPr>
            </w:pPr>
            <w:r w:rsidRPr="001F743E">
              <w:rPr>
                <w:b/>
                <w:bCs/>
                <w:sz w:val="20"/>
                <w:szCs w:val="20"/>
              </w:rPr>
              <w:t>Conductivity (</w:t>
            </w:r>
            <w:proofErr w:type="spellStart"/>
            <w:r w:rsidRPr="001F743E">
              <w:rPr>
                <w:b/>
                <w:bCs/>
                <w:sz w:val="20"/>
                <w:szCs w:val="20"/>
              </w:rPr>
              <w:t>μS</w:t>
            </w:r>
            <w:proofErr w:type="spellEnd"/>
            <w:r w:rsidRPr="001F743E">
              <w:rPr>
                <w:b/>
                <w:bCs/>
                <w:sz w:val="20"/>
                <w:szCs w:val="20"/>
              </w:rPr>
              <w:t>/cm)</w:t>
            </w:r>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AD02D3" w:rsidRPr="001F743E" w:rsidRDefault="00AD02D3" w:rsidP="00A21002">
            <w:pPr>
              <w:rPr>
                <w:b/>
                <w:bCs/>
                <w:sz w:val="20"/>
                <w:szCs w:val="20"/>
              </w:rPr>
            </w:pPr>
            <w:r w:rsidRPr="001F743E">
              <w:rPr>
                <w:b/>
                <w:bCs/>
                <w:sz w:val="20"/>
                <w:szCs w:val="20"/>
              </w:rPr>
              <w:t>Nitrate (mg/L)</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AD02D3" w:rsidRPr="001F743E" w:rsidRDefault="00AD02D3" w:rsidP="00A21002">
            <w:pPr>
              <w:rPr>
                <w:b/>
                <w:bCs/>
                <w:sz w:val="20"/>
                <w:szCs w:val="20"/>
              </w:rPr>
            </w:pPr>
            <w:r w:rsidRPr="001F743E">
              <w:rPr>
                <w:b/>
                <w:bCs/>
                <w:sz w:val="20"/>
                <w:szCs w:val="20"/>
              </w:rPr>
              <w:t>Nitrite (mg/L)</w:t>
            </w:r>
          </w:p>
        </w:tc>
        <w:tc>
          <w:tcPr>
            <w:tcW w:w="132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AD02D3" w:rsidRPr="001F743E" w:rsidRDefault="00AD02D3" w:rsidP="00A21002">
            <w:pPr>
              <w:rPr>
                <w:b/>
                <w:bCs/>
                <w:sz w:val="20"/>
                <w:szCs w:val="20"/>
              </w:rPr>
            </w:pPr>
            <w:r w:rsidRPr="001F743E">
              <w:rPr>
                <w:b/>
                <w:bCs/>
                <w:sz w:val="20"/>
                <w:szCs w:val="20"/>
              </w:rPr>
              <w:t>Phosphate (mg/L)</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AD02D3" w:rsidRPr="001F743E" w:rsidRDefault="00AD02D3" w:rsidP="00A21002">
            <w:pPr>
              <w:rPr>
                <w:b/>
                <w:bCs/>
                <w:sz w:val="20"/>
                <w:szCs w:val="20"/>
              </w:rPr>
            </w:pPr>
            <w:r w:rsidRPr="001F743E">
              <w:rPr>
                <w:b/>
                <w:bCs/>
                <w:sz w:val="20"/>
                <w:szCs w:val="20"/>
              </w:rPr>
              <w:t>TP (</w:t>
            </w:r>
            <w:proofErr w:type="spellStart"/>
            <w:r w:rsidRPr="001F743E">
              <w:rPr>
                <w:b/>
                <w:bCs/>
                <w:sz w:val="20"/>
                <w:szCs w:val="20"/>
              </w:rPr>
              <w:t>μg</w:t>
            </w:r>
            <w:proofErr w:type="spellEnd"/>
            <w:r w:rsidRPr="001F743E">
              <w:rPr>
                <w:b/>
                <w:bCs/>
                <w:sz w:val="20"/>
                <w:szCs w:val="20"/>
              </w:rPr>
              <w:t>/L)</w:t>
            </w:r>
          </w:p>
        </w:tc>
      </w:tr>
      <w:tr w:rsidR="00AD02D3" w:rsidRPr="001F743E" w:rsidTr="00A21002">
        <w:trPr>
          <w:trHeight w:val="413"/>
        </w:trPr>
        <w:tc>
          <w:tcPr>
            <w:tcW w:w="206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AD02D3" w:rsidRPr="001F743E" w:rsidRDefault="00AD02D3" w:rsidP="00A21002">
            <w:pPr>
              <w:rPr>
                <w:b/>
                <w:bCs/>
                <w:sz w:val="20"/>
                <w:szCs w:val="20"/>
              </w:rPr>
            </w:pPr>
          </w:p>
        </w:tc>
        <w:tc>
          <w:tcPr>
            <w:tcW w:w="1060" w:type="dxa"/>
            <w:vMerge/>
            <w:tcBorders>
              <w:top w:val="single" w:sz="4" w:space="0" w:color="auto"/>
              <w:left w:val="single" w:sz="4" w:space="0" w:color="auto"/>
              <w:bottom w:val="single" w:sz="4" w:space="0" w:color="000000"/>
              <w:right w:val="nil"/>
            </w:tcBorders>
            <w:shd w:val="clear" w:color="auto" w:fill="auto"/>
            <w:vAlign w:val="center"/>
          </w:tcPr>
          <w:p w:rsidR="00AD02D3" w:rsidRPr="001F743E" w:rsidRDefault="00AD02D3" w:rsidP="00A21002">
            <w:pPr>
              <w:rPr>
                <w:b/>
                <w:bCs/>
                <w:sz w:val="20"/>
                <w:szCs w:val="20"/>
              </w:rPr>
            </w:pPr>
          </w:p>
        </w:tc>
        <w:tc>
          <w:tcPr>
            <w:tcW w:w="66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AD02D3" w:rsidRPr="001F743E" w:rsidRDefault="00AD02D3" w:rsidP="00A21002">
            <w:pPr>
              <w:rPr>
                <w:b/>
                <w:bCs/>
                <w:sz w:val="20"/>
                <w:szCs w:val="20"/>
              </w:rPr>
            </w:pPr>
          </w:p>
        </w:tc>
        <w:tc>
          <w:tcPr>
            <w:tcW w:w="1507" w:type="dxa"/>
            <w:vMerge/>
            <w:tcBorders>
              <w:top w:val="single" w:sz="4" w:space="0" w:color="auto"/>
              <w:left w:val="nil"/>
              <w:bottom w:val="single" w:sz="4" w:space="0" w:color="000000"/>
              <w:right w:val="nil"/>
            </w:tcBorders>
            <w:shd w:val="clear" w:color="auto" w:fill="auto"/>
            <w:vAlign w:val="center"/>
          </w:tcPr>
          <w:p w:rsidR="00AD02D3" w:rsidRPr="001F743E" w:rsidRDefault="00AD02D3" w:rsidP="00A21002">
            <w:pPr>
              <w:rPr>
                <w:b/>
                <w:bCs/>
                <w:sz w:val="20"/>
                <w:szCs w:val="20"/>
              </w:rPr>
            </w:pPr>
          </w:p>
        </w:tc>
        <w:tc>
          <w:tcPr>
            <w:tcW w:w="104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AD02D3" w:rsidRPr="001F743E" w:rsidRDefault="00AD02D3" w:rsidP="00A21002">
            <w:pPr>
              <w:rPr>
                <w:b/>
                <w:bCs/>
                <w:sz w:val="20"/>
                <w:szCs w:val="20"/>
              </w:rPr>
            </w:pPr>
          </w:p>
        </w:tc>
        <w:tc>
          <w:tcPr>
            <w:tcW w:w="99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AD02D3" w:rsidRPr="001F743E" w:rsidRDefault="00AD02D3" w:rsidP="00A21002">
            <w:pPr>
              <w:rPr>
                <w:b/>
                <w:bCs/>
                <w:sz w:val="20"/>
                <w:szCs w:val="20"/>
              </w:rPr>
            </w:pPr>
          </w:p>
        </w:tc>
        <w:tc>
          <w:tcPr>
            <w:tcW w:w="1326"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AD02D3" w:rsidRPr="001F743E" w:rsidRDefault="00AD02D3" w:rsidP="00A21002">
            <w:pPr>
              <w:rPr>
                <w:b/>
                <w:bCs/>
                <w:sz w:val="20"/>
                <w:szCs w:val="20"/>
              </w:rPr>
            </w:pPr>
          </w:p>
        </w:tc>
        <w:tc>
          <w:tcPr>
            <w:tcW w:w="1113"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AD02D3" w:rsidRPr="001F743E" w:rsidRDefault="00AD02D3" w:rsidP="00A21002">
            <w:pPr>
              <w:rPr>
                <w:b/>
                <w:bCs/>
                <w:sz w:val="20"/>
                <w:szCs w:val="20"/>
              </w:rPr>
            </w:pPr>
          </w:p>
        </w:tc>
      </w:tr>
      <w:tr w:rsidR="00AD02D3" w:rsidRPr="001F743E" w:rsidTr="00A21002">
        <w:trPr>
          <w:trHeight w:val="574"/>
        </w:trPr>
        <w:tc>
          <w:tcPr>
            <w:tcW w:w="2065"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rPr>
                <w:b/>
                <w:bCs/>
                <w:sz w:val="20"/>
                <w:szCs w:val="20"/>
              </w:rPr>
            </w:pPr>
            <w:r w:rsidRPr="001F743E">
              <w:rPr>
                <w:b/>
                <w:bCs/>
                <w:sz w:val="20"/>
                <w:szCs w:val="20"/>
              </w:rPr>
              <w:t>A1</w:t>
            </w:r>
          </w:p>
        </w:tc>
        <w:tc>
          <w:tcPr>
            <w:tcW w:w="1060" w:type="dxa"/>
            <w:tcBorders>
              <w:top w:val="nil"/>
              <w:left w:val="single" w:sz="4" w:space="0" w:color="auto"/>
              <w:bottom w:val="nil"/>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9.0</w:t>
            </w:r>
          </w:p>
        </w:tc>
        <w:tc>
          <w:tcPr>
            <w:tcW w:w="667"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7.0</w:t>
            </w:r>
          </w:p>
        </w:tc>
        <w:tc>
          <w:tcPr>
            <w:tcW w:w="1507" w:type="dxa"/>
            <w:tcBorders>
              <w:top w:val="nil"/>
              <w:left w:val="nil"/>
              <w:bottom w:val="nil"/>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48.7</w:t>
            </w:r>
          </w:p>
        </w:tc>
        <w:tc>
          <w:tcPr>
            <w:tcW w:w="1047"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0.04</w:t>
            </w:r>
          </w:p>
        </w:tc>
        <w:tc>
          <w:tcPr>
            <w:tcW w:w="995" w:type="dxa"/>
            <w:tcBorders>
              <w:top w:val="nil"/>
              <w:left w:val="nil"/>
              <w:bottom w:val="nil"/>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0.001</w:t>
            </w:r>
          </w:p>
        </w:tc>
        <w:tc>
          <w:tcPr>
            <w:tcW w:w="1326" w:type="dxa"/>
            <w:tcBorders>
              <w:top w:val="single" w:sz="4" w:space="0" w:color="auto"/>
              <w:left w:val="single" w:sz="4" w:space="0" w:color="auto"/>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0.14</w:t>
            </w:r>
          </w:p>
        </w:tc>
        <w:tc>
          <w:tcPr>
            <w:tcW w:w="1113" w:type="dxa"/>
            <w:tcBorders>
              <w:top w:val="nil"/>
              <w:left w:val="nil"/>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12</w:t>
            </w:r>
          </w:p>
        </w:tc>
      </w:tr>
      <w:tr w:rsidR="00AD02D3" w:rsidRPr="001F743E" w:rsidTr="00A21002">
        <w:trPr>
          <w:trHeight w:val="587"/>
        </w:trPr>
        <w:tc>
          <w:tcPr>
            <w:tcW w:w="2065"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rPr>
                <w:b/>
                <w:bCs/>
                <w:sz w:val="20"/>
                <w:szCs w:val="20"/>
              </w:rPr>
            </w:pPr>
            <w:r w:rsidRPr="001F743E">
              <w:rPr>
                <w:b/>
                <w:bCs/>
                <w:sz w:val="20"/>
                <w:szCs w:val="20"/>
              </w:rPr>
              <w:t>A2</w:t>
            </w:r>
          </w:p>
        </w:tc>
        <w:tc>
          <w:tcPr>
            <w:tcW w:w="1060" w:type="dxa"/>
            <w:tcBorders>
              <w:top w:val="nil"/>
              <w:left w:val="single" w:sz="4" w:space="0" w:color="auto"/>
              <w:bottom w:val="nil"/>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9.0</w:t>
            </w:r>
          </w:p>
        </w:tc>
        <w:tc>
          <w:tcPr>
            <w:tcW w:w="667"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6.0</w:t>
            </w:r>
          </w:p>
        </w:tc>
        <w:tc>
          <w:tcPr>
            <w:tcW w:w="1507" w:type="dxa"/>
            <w:tcBorders>
              <w:top w:val="nil"/>
              <w:left w:val="nil"/>
              <w:bottom w:val="nil"/>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51.2</w:t>
            </w:r>
          </w:p>
        </w:tc>
        <w:tc>
          <w:tcPr>
            <w:tcW w:w="1047"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0.03</w:t>
            </w:r>
          </w:p>
        </w:tc>
        <w:tc>
          <w:tcPr>
            <w:tcW w:w="995" w:type="dxa"/>
            <w:tcBorders>
              <w:top w:val="nil"/>
              <w:left w:val="nil"/>
              <w:bottom w:val="nil"/>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0.002</w:t>
            </w:r>
          </w:p>
        </w:tc>
        <w:tc>
          <w:tcPr>
            <w:tcW w:w="1326"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0.11</w:t>
            </w:r>
          </w:p>
        </w:tc>
        <w:tc>
          <w:tcPr>
            <w:tcW w:w="1113" w:type="dxa"/>
            <w:tcBorders>
              <w:top w:val="nil"/>
              <w:left w:val="nil"/>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8</w:t>
            </w:r>
          </w:p>
        </w:tc>
      </w:tr>
      <w:tr w:rsidR="00AD02D3" w:rsidRPr="001F743E" w:rsidTr="00A21002">
        <w:trPr>
          <w:trHeight w:val="648"/>
        </w:trPr>
        <w:tc>
          <w:tcPr>
            <w:tcW w:w="2065" w:type="dxa"/>
            <w:tcBorders>
              <w:top w:val="single" w:sz="4" w:space="0" w:color="auto"/>
              <w:left w:val="single" w:sz="4" w:space="0" w:color="auto"/>
              <w:bottom w:val="nil"/>
              <w:right w:val="single" w:sz="4" w:space="0" w:color="auto"/>
            </w:tcBorders>
            <w:shd w:val="clear" w:color="auto" w:fill="auto"/>
            <w:noWrap/>
            <w:vAlign w:val="bottom"/>
          </w:tcPr>
          <w:p w:rsidR="00AD02D3" w:rsidRPr="001F743E" w:rsidRDefault="00AD02D3" w:rsidP="00A21002">
            <w:pPr>
              <w:rPr>
                <w:b/>
                <w:bCs/>
                <w:sz w:val="20"/>
                <w:szCs w:val="20"/>
              </w:rPr>
            </w:pPr>
            <w:r w:rsidRPr="001F743E">
              <w:rPr>
                <w:b/>
                <w:bCs/>
                <w:sz w:val="20"/>
                <w:szCs w:val="20"/>
              </w:rPr>
              <w:t>B1</w:t>
            </w:r>
          </w:p>
        </w:tc>
        <w:tc>
          <w:tcPr>
            <w:tcW w:w="1060" w:type="dxa"/>
            <w:tcBorders>
              <w:top w:val="single" w:sz="4" w:space="0" w:color="auto"/>
              <w:left w:val="single" w:sz="4" w:space="0" w:color="auto"/>
              <w:bottom w:val="nil"/>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9.6</w:t>
            </w:r>
          </w:p>
        </w:tc>
        <w:tc>
          <w:tcPr>
            <w:tcW w:w="667" w:type="dxa"/>
            <w:tcBorders>
              <w:top w:val="single" w:sz="4" w:space="0" w:color="auto"/>
              <w:left w:val="single" w:sz="4" w:space="0" w:color="auto"/>
              <w:bottom w:val="nil"/>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6.6</w:t>
            </w:r>
          </w:p>
        </w:tc>
        <w:tc>
          <w:tcPr>
            <w:tcW w:w="1507" w:type="dxa"/>
            <w:tcBorders>
              <w:top w:val="single" w:sz="4" w:space="0" w:color="auto"/>
              <w:left w:val="nil"/>
              <w:bottom w:val="nil"/>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47.4</w:t>
            </w:r>
          </w:p>
        </w:tc>
        <w:tc>
          <w:tcPr>
            <w:tcW w:w="1047" w:type="dxa"/>
            <w:tcBorders>
              <w:top w:val="single" w:sz="4" w:space="0" w:color="auto"/>
              <w:left w:val="single" w:sz="4" w:space="0" w:color="auto"/>
              <w:bottom w:val="nil"/>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0.10</w:t>
            </w:r>
          </w:p>
        </w:tc>
        <w:tc>
          <w:tcPr>
            <w:tcW w:w="995" w:type="dxa"/>
            <w:tcBorders>
              <w:top w:val="single" w:sz="4" w:space="0" w:color="auto"/>
              <w:left w:val="nil"/>
              <w:bottom w:val="nil"/>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0.001</w:t>
            </w:r>
          </w:p>
        </w:tc>
        <w:tc>
          <w:tcPr>
            <w:tcW w:w="1326" w:type="dxa"/>
            <w:tcBorders>
              <w:top w:val="single" w:sz="4" w:space="0" w:color="auto"/>
              <w:left w:val="single" w:sz="4" w:space="0" w:color="auto"/>
              <w:bottom w:val="nil"/>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0.07</w:t>
            </w:r>
          </w:p>
        </w:tc>
        <w:tc>
          <w:tcPr>
            <w:tcW w:w="1113" w:type="dxa"/>
            <w:tcBorders>
              <w:top w:val="single" w:sz="4" w:space="0" w:color="auto"/>
              <w:left w:val="nil"/>
              <w:bottom w:val="nil"/>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17</w:t>
            </w:r>
          </w:p>
        </w:tc>
      </w:tr>
      <w:tr w:rsidR="00AD02D3" w:rsidRPr="001F743E" w:rsidTr="00A21002">
        <w:trPr>
          <w:trHeight w:val="580"/>
        </w:trPr>
        <w:tc>
          <w:tcPr>
            <w:tcW w:w="2065" w:type="dxa"/>
            <w:tcBorders>
              <w:top w:val="nil"/>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rPr>
                <w:b/>
                <w:bCs/>
                <w:sz w:val="20"/>
                <w:szCs w:val="20"/>
              </w:rPr>
            </w:pPr>
            <w:r w:rsidRPr="001F743E">
              <w:rPr>
                <w:b/>
                <w:bCs/>
                <w:sz w:val="20"/>
                <w:szCs w:val="20"/>
              </w:rPr>
              <w:t>B2</w:t>
            </w:r>
          </w:p>
        </w:tc>
        <w:tc>
          <w:tcPr>
            <w:tcW w:w="1060" w:type="dxa"/>
            <w:tcBorders>
              <w:top w:val="nil"/>
              <w:left w:val="single" w:sz="4" w:space="0" w:color="auto"/>
              <w:bottom w:val="single" w:sz="4"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9.0</w:t>
            </w:r>
          </w:p>
        </w:tc>
        <w:tc>
          <w:tcPr>
            <w:tcW w:w="667" w:type="dxa"/>
            <w:tcBorders>
              <w:top w:val="nil"/>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6.6</w:t>
            </w:r>
          </w:p>
        </w:tc>
        <w:tc>
          <w:tcPr>
            <w:tcW w:w="1507" w:type="dxa"/>
            <w:tcBorders>
              <w:top w:val="nil"/>
              <w:left w:val="nil"/>
              <w:bottom w:val="single" w:sz="4"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53.9</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0.04</w:t>
            </w:r>
          </w:p>
        </w:tc>
        <w:tc>
          <w:tcPr>
            <w:tcW w:w="995" w:type="dxa"/>
            <w:tcBorders>
              <w:top w:val="nil"/>
              <w:left w:val="nil"/>
              <w:bottom w:val="single" w:sz="4"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0.001</w:t>
            </w:r>
          </w:p>
        </w:tc>
        <w:tc>
          <w:tcPr>
            <w:tcW w:w="1326" w:type="dxa"/>
            <w:tcBorders>
              <w:top w:val="nil"/>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0.19</w:t>
            </w:r>
          </w:p>
        </w:tc>
        <w:tc>
          <w:tcPr>
            <w:tcW w:w="1113" w:type="dxa"/>
            <w:tcBorders>
              <w:top w:val="nil"/>
              <w:left w:val="nil"/>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7</w:t>
            </w:r>
          </w:p>
        </w:tc>
      </w:tr>
      <w:tr w:rsidR="00AD02D3" w:rsidRPr="001F743E" w:rsidTr="00A21002">
        <w:trPr>
          <w:trHeight w:val="552"/>
        </w:trPr>
        <w:tc>
          <w:tcPr>
            <w:tcW w:w="2065"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rPr>
                <w:b/>
                <w:bCs/>
                <w:sz w:val="20"/>
                <w:szCs w:val="20"/>
              </w:rPr>
            </w:pPr>
            <w:r w:rsidRPr="001F743E">
              <w:rPr>
                <w:b/>
                <w:bCs/>
                <w:sz w:val="20"/>
                <w:szCs w:val="20"/>
              </w:rPr>
              <w:t>C1</w:t>
            </w:r>
          </w:p>
        </w:tc>
        <w:tc>
          <w:tcPr>
            <w:tcW w:w="1060" w:type="dxa"/>
            <w:tcBorders>
              <w:top w:val="nil"/>
              <w:left w:val="single" w:sz="4" w:space="0" w:color="auto"/>
              <w:bottom w:val="nil"/>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10.0</w:t>
            </w:r>
          </w:p>
        </w:tc>
        <w:tc>
          <w:tcPr>
            <w:tcW w:w="667"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6.5</w:t>
            </w:r>
          </w:p>
        </w:tc>
        <w:tc>
          <w:tcPr>
            <w:tcW w:w="1507" w:type="dxa"/>
            <w:tcBorders>
              <w:top w:val="nil"/>
              <w:left w:val="nil"/>
              <w:bottom w:val="nil"/>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47.3</w:t>
            </w:r>
          </w:p>
        </w:tc>
        <w:tc>
          <w:tcPr>
            <w:tcW w:w="1047"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0.06</w:t>
            </w:r>
          </w:p>
        </w:tc>
        <w:tc>
          <w:tcPr>
            <w:tcW w:w="995" w:type="dxa"/>
            <w:tcBorders>
              <w:top w:val="nil"/>
              <w:left w:val="nil"/>
              <w:bottom w:val="nil"/>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0.001</w:t>
            </w:r>
          </w:p>
        </w:tc>
        <w:tc>
          <w:tcPr>
            <w:tcW w:w="1326"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0.99</w:t>
            </w:r>
          </w:p>
        </w:tc>
        <w:tc>
          <w:tcPr>
            <w:tcW w:w="1113" w:type="dxa"/>
            <w:tcBorders>
              <w:top w:val="nil"/>
              <w:left w:val="nil"/>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5</w:t>
            </w:r>
          </w:p>
        </w:tc>
      </w:tr>
      <w:tr w:rsidR="00AD02D3" w:rsidRPr="001F743E" w:rsidTr="00A21002">
        <w:trPr>
          <w:trHeight w:val="570"/>
        </w:trPr>
        <w:tc>
          <w:tcPr>
            <w:tcW w:w="2065"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rPr>
                <w:b/>
                <w:bCs/>
                <w:sz w:val="20"/>
                <w:szCs w:val="20"/>
              </w:rPr>
            </w:pPr>
            <w:r w:rsidRPr="001F743E">
              <w:rPr>
                <w:b/>
                <w:bCs/>
                <w:sz w:val="20"/>
                <w:szCs w:val="20"/>
              </w:rPr>
              <w:t>C2</w:t>
            </w:r>
          </w:p>
        </w:tc>
        <w:tc>
          <w:tcPr>
            <w:tcW w:w="1060" w:type="dxa"/>
            <w:tcBorders>
              <w:top w:val="nil"/>
              <w:left w:val="single" w:sz="4" w:space="0" w:color="auto"/>
              <w:bottom w:val="nil"/>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10.1</w:t>
            </w:r>
          </w:p>
        </w:tc>
        <w:tc>
          <w:tcPr>
            <w:tcW w:w="667"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6.6</w:t>
            </w:r>
          </w:p>
        </w:tc>
        <w:tc>
          <w:tcPr>
            <w:tcW w:w="1507" w:type="dxa"/>
            <w:tcBorders>
              <w:top w:val="nil"/>
              <w:left w:val="nil"/>
              <w:bottom w:val="nil"/>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53.5</w:t>
            </w:r>
          </w:p>
        </w:tc>
        <w:tc>
          <w:tcPr>
            <w:tcW w:w="1047"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0.50</w:t>
            </w:r>
          </w:p>
        </w:tc>
        <w:tc>
          <w:tcPr>
            <w:tcW w:w="995" w:type="dxa"/>
            <w:tcBorders>
              <w:top w:val="nil"/>
              <w:left w:val="nil"/>
              <w:bottom w:val="nil"/>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0.002</w:t>
            </w:r>
          </w:p>
        </w:tc>
        <w:tc>
          <w:tcPr>
            <w:tcW w:w="1326"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0.12</w:t>
            </w:r>
          </w:p>
        </w:tc>
        <w:tc>
          <w:tcPr>
            <w:tcW w:w="1113" w:type="dxa"/>
            <w:tcBorders>
              <w:top w:val="nil"/>
              <w:left w:val="nil"/>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6</w:t>
            </w:r>
          </w:p>
        </w:tc>
      </w:tr>
      <w:tr w:rsidR="00AD02D3" w:rsidRPr="001F743E" w:rsidTr="00A21002">
        <w:trPr>
          <w:trHeight w:val="554"/>
        </w:trPr>
        <w:tc>
          <w:tcPr>
            <w:tcW w:w="2065" w:type="dxa"/>
            <w:tcBorders>
              <w:top w:val="single" w:sz="4" w:space="0" w:color="auto"/>
              <w:left w:val="single" w:sz="4" w:space="0" w:color="auto"/>
              <w:bottom w:val="nil"/>
              <w:right w:val="single" w:sz="4" w:space="0" w:color="auto"/>
            </w:tcBorders>
            <w:shd w:val="clear" w:color="auto" w:fill="auto"/>
            <w:noWrap/>
            <w:vAlign w:val="bottom"/>
          </w:tcPr>
          <w:p w:rsidR="00AD02D3" w:rsidRPr="001F743E" w:rsidRDefault="00AD02D3" w:rsidP="00A21002">
            <w:pPr>
              <w:rPr>
                <w:b/>
                <w:bCs/>
                <w:sz w:val="20"/>
                <w:szCs w:val="20"/>
              </w:rPr>
            </w:pPr>
            <w:r w:rsidRPr="001F743E">
              <w:rPr>
                <w:b/>
                <w:bCs/>
                <w:sz w:val="20"/>
                <w:szCs w:val="20"/>
              </w:rPr>
              <w:t>D1</w:t>
            </w:r>
          </w:p>
        </w:tc>
        <w:tc>
          <w:tcPr>
            <w:tcW w:w="1060" w:type="dxa"/>
            <w:tcBorders>
              <w:top w:val="single" w:sz="4" w:space="0" w:color="auto"/>
              <w:left w:val="single" w:sz="4" w:space="0" w:color="auto"/>
              <w:bottom w:val="nil"/>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9.5</w:t>
            </w:r>
          </w:p>
        </w:tc>
        <w:tc>
          <w:tcPr>
            <w:tcW w:w="667" w:type="dxa"/>
            <w:tcBorders>
              <w:top w:val="single" w:sz="4" w:space="0" w:color="auto"/>
              <w:left w:val="single" w:sz="4" w:space="0" w:color="auto"/>
              <w:bottom w:val="nil"/>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6.5</w:t>
            </w:r>
          </w:p>
        </w:tc>
        <w:tc>
          <w:tcPr>
            <w:tcW w:w="1507" w:type="dxa"/>
            <w:tcBorders>
              <w:top w:val="single" w:sz="4" w:space="0" w:color="auto"/>
              <w:left w:val="nil"/>
              <w:bottom w:val="nil"/>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46.9</w:t>
            </w:r>
          </w:p>
        </w:tc>
        <w:tc>
          <w:tcPr>
            <w:tcW w:w="1047" w:type="dxa"/>
            <w:tcBorders>
              <w:top w:val="single" w:sz="4" w:space="0" w:color="auto"/>
              <w:left w:val="single" w:sz="4" w:space="0" w:color="auto"/>
              <w:bottom w:val="nil"/>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0.07</w:t>
            </w:r>
          </w:p>
        </w:tc>
        <w:tc>
          <w:tcPr>
            <w:tcW w:w="995" w:type="dxa"/>
            <w:tcBorders>
              <w:top w:val="single" w:sz="4" w:space="0" w:color="auto"/>
              <w:left w:val="nil"/>
              <w:bottom w:val="nil"/>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0.001</w:t>
            </w:r>
          </w:p>
        </w:tc>
        <w:tc>
          <w:tcPr>
            <w:tcW w:w="1326" w:type="dxa"/>
            <w:tcBorders>
              <w:top w:val="single" w:sz="4" w:space="0" w:color="auto"/>
              <w:left w:val="single" w:sz="4" w:space="0" w:color="auto"/>
              <w:bottom w:val="nil"/>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0.08</w:t>
            </w:r>
          </w:p>
        </w:tc>
        <w:tc>
          <w:tcPr>
            <w:tcW w:w="1113" w:type="dxa"/>
            <w:tcBorders>
              <w:top w:val="single" w:sz="4" w:space="0" w:color="auto"/>
              <w:left w:val="nil"/>
              <w:bottom w:val="nil"/>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8</w:t>
            </w:r>
          </w:p>
        </w:tc>
      </w:tr>
      <w:tr w:rsidR="00AD02D3" w:rsidRPr="001F743E" w:rsidTr="00A21002">
        <w:trPr>
          <w:trHeight w:val="572"/>
        </w:trPr>
        <w:tc>
          <w:tcPr>
            <w:tcW w:w="2065" w:type="dxa"/>
            <w:tcBorders>
              <w:top w:val="nil"/>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rPr>
                <w:b/>
                <w:bCs/>
                <w:sz w:val="20"/>
                <w:szCs w:val="20"/>
              </w:rPr>
            </w:pPr>
            <w:r w:rsidRPr="001F743E">
              <w:rPr>
                <w:b/>
                <w:bCs/>
                <w:sz w:val="20"/>
                <w:szCs w:val="20"/>
              </w:rPr>
              <w:t>D2</w:t>
            </w:r>
          </w:p>
        </w:tc>
        <w:tc>
          <w:tcPr>
            <w:tcW w:w="1060" w:type="dxa"/>
            <w:tcBorders>
              <w:top w:val="nil"/>
              <w:left w:val="single" w:sz="4" w:space="0" w:color="auto"/>
              <w:bottom w:val="single" w:sz="4"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9.9</w:t>
            </w:r>
          </w:p>
        </w:tc>
        <w:tc>
          <w:tcPr>
            <w:tcW w:w="667" w:type="dxa"/>
            <w:tcBorders>
              <w:top w:val="nil"/>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6.6</w:t>
            </w:r>
          </w:p>
        </w:tc>
        <w:tc>
          <w:tcPr>
            <w:tcW w:w="1507" w:type="dxa"/>
            <w:tcBorders>
              <w:top w:val="nil"/>
              <w:left w:val="nil"/>
              <w:bottom w:val="single" w:sz="4"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53.6</w:t>
            </w:r>
          </w:p>
        </w:tc>
        <w:tc>
          <w:tcPr>
            <w:tcW w:w="1047" w:type="dxa"/>
            <w:tcBorders>
              <w:top w:val="nil"/>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0.05</w:t>
            </w:r>
          </w:p>
        </w:tc>
        <w:tc>
          <w:tcPr>
            <w:tcW w:w="995" w:type="dxa"/>
            <w:tcBorders>
              <w:top w:val="nil"/>
              <w:left w:val="nil"/>
              <w:bottom w:val="single" w:sz="4"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0.004</w:t>
            </w:r>
          </w:p>
        </w:tc>
        <w:tc>
          <w:tcPr>
            <w:tcW w:w="1326" w:type="dxa"/>
            <w:tcBorders>
              <w:top w:val="nil"/>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0.22</w:t>
            </w:r>
          </w:p>
        </w:tc>
        <w:tc>
          <w:tcPr>
            <w:tcW w:w="1113" w:type="dxa"/>
            <w:tcBorders>
              <w:top w:val="nil"/>
              <w:left w:val="nil"/>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8</w:t>
            </w:r>
          </w:p>
        </w:tc>
      </w:tr>
      <w:tr w:rsidR="00AD02D3" w:rsidRPr="001F743E" w:rsidTr="00A21002">
        <w:trPr>
          <w:trHeight w:val="556"/>
        </w:trPr>
        <w:tc>
          <w:tcPr>
            <w:tcW w:w="2065"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rPr>
                <w:b/>
                <w:bCs/>
                <w:sz w:val="20"/>
                <w:szCs w:val="20"/>
              </w:rPr>
            </w:pPr>
            <w:r w:rsidRPr="001F743E">
              <w:rPr>
                <w:b/>
                <w:bCs/>
                <w:sz w:val="20"/>
                <w:szCs w:val="20"/>
              </w:rPr>
              <w:t>E1</w:t>
            </w:r>
          </w:p>
        </w:tc>
        <w:tc>
          <w:tcPr>
            <w:tcW w:w="1060" w:type="dxa"/>
            <w:tcBorders>
              <w:top w:val="nil"/>
              <w:left w:val="single" w:sz="4" w:space="0" w:color="auto"/>
              <w:bottom w:val="nil"/>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8.9</w:t>
            </w:r>
          </w:p>
        </w:tc>
        <w:tc>
          <w:tcPr>
            <w:tcW w:w="667"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6.5</w:t>
            </w:r>
          </w:p>
        </w:tc>
        <w:tc>
          <w:tcPr>
            <w:tcW w:w="1507" w:type="dxa"/>
            <w:tcBorders>
              <w:top w:val="nil"/>
              <w:left w:val="nil"/>
              <w:bottom w:val="nil"/>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47.9</w:t>
            </w:r>
          </w:p>
        </w:tc>
        <w:tc>
          <w:tcPr>
            <w:tcW w:w="1047"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0.03</w:t>
            </w:r>
          </w:p>
        </w:tc>
        <w:tc>
          <w:tcPr>
            <w:tcW w:w="995" w:type="dxa"/>
            <w:tcBorders>
              <w:top w:val="nil"/>
              <w:left w:val="nil"/>
              <w:bottom w:val="nil"/>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0.001</w:t>
            </w:r>
          </w:p>
        </w:tc>
        <w:tc>
          <w:tcPr>
            <w:tcW w:w="1326" w:type="dxa"/>
            <w:tcBorders>
              <w:top w:val="nil"/>
              <w:left w:val="single" w:sz="4" w:space="0" w:color="auto"/>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0.07</w:t>
            </w:r>
          </w:p>
        </w:tc>
        <w:tc>
          <w:tcPr>
            <w:tcW w:w="1113" w:type="dxa"/>
            <w:tcBorders>
              <w:top w:val="nil"/>
              <w:left w:val="nil"/>
              <w:bottom w:val="nil"/>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6</w:t>
            </w:r>
          </w:p>
        </w:tc>
      </w:tr>
      <w:tr w:rsidR="00AD02D3" w:rsidRPr="001F743E" w:rsidTr="00A21002">
        <w:trPr>
          <w:trHeight w:val="560"/>
        </w:trPr>
        <w:tc>
          <w:tcPr>
            <w:tcW w:w="2065" w:type="dxa"/>
            <w:tcBorders>
              <w:top w:val="nil"/>
              <w:left w:val="single" w:sz="4" w:space="0" w:color="auto"/>
              <w:bottom w:val="single" w:sz="4" w:space="0" w:color="auto"/>
              <w:right w:val="single" w:sz="4" w:space="0" w:color="auto"/>
            </w:tcBorders>
            <w:shd w:val="clear" w:color="auto" w:fill="C0C0C0"/>
            <w:noWrap/>
            <w:vAlign w:val="bottom"/>
          </w:tcPr>
          <w:p w:rsidR="00AD02D3" w:rsidRPr="001F743E" w:rsidRDefault="00AD02D3" w:rsidP="00A21002">
            <w:pPr>
              <w:rPr>
                <w:b/>
                <w:bCs/>
                <w:sz w:val="20"/>
                <w:szCs w:val="20"/>
              </w:rPr>
            </w:pPr>
            <w:r w:rsidRPr="001F743E">
              <w:rPr>
                <w:b/>
                <w:bCs/>
                <w:sz w:val="20"/>
                <w:szCs w:val="20"/>
              </w:rPr>
              <w:t>E2</w:t>
            </w:r>
          </w:p>
        </w:tc>
        <w:tc>
          <w:tcPr>
            <w:tcW w:w="1060" w:type="dxa"/>
            <w:tcBorders>
              <w:top w:val="nil"/>
              <w:left w:val="single" w:sz="4" w:space="0" w:color="auto"/>
              <w:bottom w:val="single" w:sz="4" w:space="0" w:color="auto"/>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8.9</w:t>
            </w:r>
          </w:p>
        </w:tc>
        <w:tc>
          <w:tcPr>
            <w:tcW w:w="667" w:type="dxa"/>
            <w:tcBorders>
              <w:top w:val="nil"/>
              <w:left w:val="single" w:sz="4" w:space="0" w:color="auto"/>
              <w:bottom w:val="single" w:sz="4" w:space="0" w:color="auto"/>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6.5</w:t>
            </w:r>
          </w:p>
        </w:tc>
        <w:tc>
          <w:tcPr>
            <w:tcW w:w="1507" w:type="dxa"/>
            <w:tcBorders>
              <w:top w:val="nil"/>
              <w:left w:val="nil"/>
              <w:bottom w:val="single" w:sz="4" w:space="0" w:color="auto"/>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53.1</w:t>
            </w:r>
          </w:p>
        </w:tc>
        <w:tc>
          <w:tcPr>
            <w:tcW w:w="1047" w:type="dxa"/>
            <w:tcBorders>
              <w:top w:val="nil"/>
              <w:left w:val="single" w:sz="4" w:space="0" w:color="auto"/>
              <w:bottom w:val="single" w:sz="4" w:space="0" w:color="auto"/>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0.02</w:t>
            </w:r>
          </w:p>
        </w:tc>
        <w:tc>
          <w:tcPr>
            <w:tcW w:w="995" w:type="dxa"/>
            <w:tcBorders>
              <w:top w:val="nil"/>
              <w:left w:val="nil"/>
              <w:bottom w:val="single" w:sz="4" w:space="0" w:color="auto"/>
              <w:right w:val="nil"/>
            </w:tcBorders>
            <w:shd w:val="clear" w:color="auto" w:fill="C0C0C0"/>
            <w:noWrap/>
            <w:vAlign w:val="bottom"/>
          </w:tcPr>
          <w:p w:rsidR="00AD02D3" w:rsidRPr="001F743E" w:rsidRDefault="00AD02D3" w:rsidP="00A21002">
            <w:pPr>
              <w:jc w:val="right"/>
              <w:rPr>
                <w:sz w:val="20"/>
                <w:szCs w:val="20"/>
              </w:rPr>
            </w:pPr>
            <w:r w:rsidRPr="001F743E">
              <w:rPr>
                <w:sz w:val="20"/>
                <w:szCs w:val="20"/>
              </w:rPr>
              <w:t>0.001</w:t>
            </w:r>
          </w:p>
        </w:tc>
        <w:tc>
          <w:tcPr>
            <w:tcW w:w="1326" w:type="dxa"/>
            <w:tcBorders>
              <w:top w:val="nil"/>
              <w:left w:val="single" w:sz="4" w:space="0" w:color="auto"/>
              <w:bottom w:val="single" w:sz="4" w:space="0" w:color="auto"/>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0.09</w:t>
            </w:r>
          </w:p>
        </w:tc>
        <w:tc>
          <w:tcPr>
            <w:tcW w:w="1113" w:type="dxa"/>
            <w:tcBorders>
              <w:top w:val="nil"/>
              <w:left w:val="nil"/>
              <w:bottom w:val="single" w:sz="4" w:space="0" w:color="auto"/>
              <w:right w:val="single" w:sz="4" w:space="0" w:color="auto"/>
            </w:tcBorders>
            <w:shd w:val="clear" w:color="auto" w:fill="C0C0C0"/>
            <w:noWrap/>
            <w:vAlign w:val="bottom"/>
          </w:tcPr>
          <w:p w:rsidR="00AD02D3" w:rsidRPr="001F743E" w:rsidRDefault="00AD02D3" w:rsidP="00A21002">
            <w:pPr>
              <w:jc w:val="right"/>
              <w:rPr>
                <w:sz w:val="20"/>
                <w:szCs w:val="20"/>
              </w:rPr>
            </w:pPr>
            <w:r w:rsidRPr="001F743E">
              <w:rPr>
                <w:sz w:val="20"/>
                <w:szCs w:val="20"/>
              </w:rPr>
              <w:t>10</w:t>
            </w:r>
          </w:p>
        </w:tc>
      </w:tr>
      <w:tr w:rsidR="00AD02D3" w:rsidRPr="001F743E" w:rsidTr="00A21002">
        <w:trPr>
          <w:trHeight w:val="572"/>
        </w:trPr>
        <w:tc>
          <w:tcPr>
            <w:tcW w:w="2065" w:type="dxa"/>
            <w:tcBorders>
              <w:top w:val="nil"/>
              <w:left w:val="single" w:sz="4" w:space="0" w:color="auto"/>
              <w:bottom w:val="nil"/>
              <w:right w:val="single" w:sz="4" w:space="0" w:color="auto"/>
            </w:tcBorders>
            <w:shd w:val="clear" w:color="auto" w:fill="auto"/>
            <w:noWrap/>
            <w:vAlign w:val="bottom"/>
          </w:tcPr>
          <w:p w:rsidR="00AD02D3" w:rsidRPr="001F743E" w:rsidRDefault="00AD02D3" w:rsidP="00A21002">
            <w:pPr>
              <w:rPr>
                <w:b/>
                <w:bCs/>
                <w:sz w:val="20"/>
                <w:szCs w:val="20"/>
              </w:rPr>
            </w:pPr>
            <w:r w:rsidRPr="001F743E">
              <w:rPr>
                <w:b/>
                <w:bCs/>
                <w:sz w:val="20"/>
                <w:szCs w:val="20"/>
              </w:rPr>
              <w:t>F1</w:t>
            </w:r>
          </w:p>
        </w:tc>
        <w:tc>
          <w:tcPr>
            <w:tcW w:w="1060" w:type="dxa"/>
            <w:tcBorders>
              <w:top w:val="nil"/>
              <w:left w:val="single" w:sz="4" w:space="0" w:color="auto"/>
              <w:bottom w:val="nil"/>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8.9</w:t>
            </w:r>
          </w:p>
        </w:tc>
        <w:tc>
          <w:tcPr>
            <w:tcW w:w="667" w:type="dxa"/>
            <w:tcBorders>
              <w:top w:val="nil"/>
              <w:left w:val="single" w:sz="4" w:space="0" w:color="auto"/>
              <w:bottom w:val="nil"/>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6.5</w:t>
            </w:r>
          </w:p>
        </w:tc>
        <w:tc>
          <w:tcPr>
            <w:tcW w:w="1507" w:type="dxa"/>
            <w:tcBorders>
              <w:top w:val="nil"/>
              <w:left w:val="nil"/>
              <w:bottom w:val="nil"/>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47.5</w:t>
            </w:r>
          </w:p>
        </w:tc>
        <w:tc>
          <w:tcPr>
            <w:tcW w:w="1047" w:type="dxa"/>
            <w:tcBorders>
              <w:top w:val="nil"/>
              <w:left w:val="single" w:sz="4" w:space="0" w:color="auto"/>
              <w:bottom w:val="nil"/>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0.06</w:t>
            </w:r>
          </w:p>
        </w:tc>
        <w:tc>
          <w:tcPr>
            <w:tcW w:w="995" w:type="dxa"/>
            <w:tcBorders>
              <w:top w:val="nil"/>
              <w:left w:val="nil"/>
              <w:bottom w:val="nil"/>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0.002</w:t>
            </w:r>
          </w:p>
        </w:tc>
        <w:tc>
          <w:tcPr>
            <w:tcW w:w="1326" w:type="dxa"/>
            <w:tcBorders>
              <w:top w:val="nil"/>
              <w:left w:val="single" w:sz="4" w:space="0" w:color="auto"/>
              <w:bottom w:val="nil"/>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0.04</w:t>
            </w:r>
          </w:p>
        </w:tc>
        <w:tc>
          <w:tcPr>
            <w:tcW w:w="1113" w:type="dxa"/>
            <w:tcBorders>
              <w:top w:val="nil"/>
              <w:left w:val="nil"/>
              <w:bottom w:val="nil"/>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7</w:t>
            </w:r>
          </w:p>
        </w:tc>
      </w:tr>
      <w:tr w:rsidR="00AD02D3" w:rsidRPr="001F743E" w:rsidTr="00A21002">
        <w:trPr>
          <w:trHeight w:val="562"/>
        </w:trPr>
        <w:tc>
          <w:tcPr>
            <w:tcW w:w="2065" w:type="dxa"/>
            <w:tcBorders>
              <w:top w:val="nil"/>
              <w:left w:val="single" w:sz="4" w:space="0" w:color="auto"/>
              <w:bottom w:val="single" w:sz="12" w:space="0" w:color="auto"/>
              <w:right w:val="single" w:sz="4" w:space="0" w:color="auto"/>
            </w:tcBorders>
            <w:shd w:val="clear" w:color="auto" w:fill="auto"/>
            <w:noWrap/>
            <w:vAlign w:val="bottom"/>
          </w:tcPr>
          <w:p w:rsidR="00AD02D3" w:rsidRPr="001F743E" w:rsidRDefault="00AD02D3" w:rsidP="00A21002">
            <w:pPr>
              <w:rPr>
                <w:b/>
                <w:bCs/>
                <w:sz w:val="20"/>
                <w:szCs w:val="20"/>
              </w:rPr>
            </w:pPr>
            <w:r w:rsidRPr="001F743E">
              <w:rPr>
                <w:b/>
                <w:bCs/>
                <w:sz w:val="20"/>
                <w:szCs w:val="20"/>
              </w:rPr>
              <w:t>F2</w:t>
            </w:r>
          </w:p>
        </w:tc>
        <w:tc>
          <w:tcPr>
            <w:tcW w:w="1060" w:type="dxa"/>
            <w:tcBorders>
              <w:top w:val="nil"/>
              <w:left w:val="single" w:sz="4" w:space="0" w:color="auto"/>
              <w:bottom w:val="single" w:sz="12"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8.5</w:t>
            </w:r>
          </w:p>
        </w:tc>
        <w:tc>
          <w:tcPr>
            <w:tcW w:w="667" w:type="dxa"/>
            <w:tcBorders>
              <w:top w:val="nil"/>
              <w:left w:val="single" w:sz="4" w:space="0" w:color="auto"/>
              <w:bottom w:val="single" w:sz="12"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6.5</w:t>
            </w:r>
          </w:p>
        </w:tc>
        <w:tc>
          <w:tcPr>
            <w:tcW w:w="1507" w:type="dxa"/>
            <w:tcBorders>
              <w:top w:val="nil"/>
              <w:left w:val="nil"/>
              <w:bottom w:val="single" w:sz="12"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53.6</w:t>
            </w:r>
          </w:p>
        </w:tc>
        <w:tc>
          <w:tcPr>
            <w:tcW w:w="1047" w:type="dxa"/>
            <w:tcBorders>
              <w:top w:val="nil"/>
              <w:left w:val="single" w:sz="4" w:space="0" w:color="auto"/>
              <w:bottom w:val="single" w:sz="12"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0.04</w:t>
            </w:r>
          </w:p>
        </w:tc>
        <w:tc>
          <w:tcPr>
            <w:tcW w:w="995" w:type="dxa"/>
            <w:tcBorders>
              <w:top w:val="nil"/>
              <w:left w:val="nil"/>
              <w:bottom w:val="single" w:sz="12"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0.002</w:t>
            </w:r>
          </w:p>
        </w:tc>
        <w:tc>
          <w:tcPr>
            <w:tcW w:w="1326" w:type="dxa"/>
            <w:tcBorders>
              <w:top w:val="nil"/>
              <w:left w:val="single" w:sz="4" w:space="0" w:color="auto"/>
              <w:bottom w:val="single" w:sz="12"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0.21</w:t>
            </w:r>
          </w:p>
        </w:tc>
        <w:tc>
          <w:tcPr>
            <w:tcW w:w="1113" w:type="dxa"/>
            <w:tcBorders>
              <w:top w:val="nil"/>
              <w:left w:val="nil"/>
              <w:bottom w:val="single" w:sz="12"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6</w:t>
            </w:r>
          </w:p>
        </w:tc>
      </w:tr>
      <w:tr w:rsidR="00AD02D3" w:rsidRPr="001F743E" w:rsidTr="00A21002">
        <w:trPr>
          <w:trHeight w:val="540"/>
        </w:trPr>
        <w:tc>
          <w:tcPr>
            <w:tcW w:w="206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AD02D3" w:rsidRPr="001F743E" w:rsidRDefault="00AD02D3" w:rsidP="00A21002">
            <w:pPr>
              <w:rPr>
                <w:b/>
                <w:bCs/>
                <w:sz w:val="20"/>
                <w:szCs w:val="20"/>
              </w:rPr>
            </w:pPr>
            <w:r w:rsidRPr="001F743E">
              <w:rPr>
                <w:b/>
                <w:bCs/>
                <w:sz w:val="20"/>
                <w:szCs w:val="20"/>
              </w:rPr>
              <w:t>Mean</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9.27</w:t>
            </w:r>
          </w:p>
        </w:tc>
        <w:tc>
          <w:tcPr>
            <w:tcW w:w="66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6.53</w:t>
            </w:r>
          </w:p>
        </w:tc>
        <w:tc>
          <w:tcPr>
            <w:tcW w:w="150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50.38</w:t>
            </w:r>
          </w:p>
        </w:tc>
        <w:tc>
          <w:tcPr>
            <w:tcW w:w="1047"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0.05</w:t>
            </w:r>
          </w:p>
        </w:tc>
        <w:tc>
          <w:tcPr>
            <w:tcW w:w="99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0.000</w:t>
            </w:r>
          </w:p>
        </w:tc>
        <w:tc>
          <w:tcPr>
            <w:tcW w:w="1326"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0.19</w:t>
            </w:r>
          </w:p>
        </w:tc>
        <w:tc>
          <w:tcPr>
            <w:tcW w:w="111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8</w:t>
            </w:r>
          </w:p>
        </w:tc>
      </w:tr>
      <w:tr w:rsidR="00AD02D3" w:rsidRPr="001F743E" w:rsidTr="00A21002">
        <w:trPr>
          <w:trHeight w:val="534"/>
        </w:trPr>
        <w:tc>
          <w:tcPr>
            <w:tcW w:w="2065" w:type="dxa"/>
            <w:tcBorders>
              <w:top w:val="single" w:sz="12"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rPr>
                <w:b/>
                <w:bCs/>
                <w:sz w:val="20"/>
                <w:szCs w:val="20"/>
              </w:rPr>
            </w:pPr>
            <w:r w:rsidRPr="001F743E">
              <w:rPr>
                <w:b/>
                <w:bCs/>
                <w:sz w:val="20"/>
                <w:szCs w:val="20"/>
              </w:rPr>
              <w:t>Standard Deviation</w:t>
            </w:r>
          </w:p>
        </w:tc>
        <w:tc>
          <w:tcPr>
            <w:tcW w:w="1060" w:type="dxa"/>
            <w:tcBorders>
              <w:top w:val="single" w:sz="12" w:space="0" w:color="auto"/>
              <w:left w:val="single" w:sz="4" w:space="0" w:color="auto"/>
              <w:bottom w:val="single" w:sz="4"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0.52</w:t>
            </w:r>
          </w:p>
        </w:tc>
        <w:tc>
          <w:tcPr>
            <w:tcW w:w="667" w:type="dxa"/>
            <w:tcBorders>
              <w:top w:val="single" w:sz="12"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0.22</w:t>
            </w:r>
          </w:p>
        </w:tc>
        <w:tc>
          <w:tcPr>
            <w:tcW w:w="1507" w:type="dxa"/>
            <w:tcBorders>
              <w:top w:val="single" w:sz="12" w:space="0" w:color="auto"/>
              <w:left w:val="nil"/>
              <w:bottom w:val="single" w:sz="4"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3.00</w:t>
            </w:r>
          </w:p>
        </w:tc>
        <w:tc>
          <w:tcPr>
            <w:tcW w:w="1047" w:type="dxa"/>
            <w:tcBorders>
              <w:top w:val="single" w:sz="12"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0.02</w:t>
            </w:r>
          </w:p>
        </w:tc>
        <w:tc>
          <w:tcPr>
            <w:tcW w:w="995" w:type="dxa"/>
            <w:tcBorders>
              <w:top w:val="single" w:sz="12" w:space="0" w:color="auto"/>
              <w:left w:val="nil"/>
              <w:bottom w:val="single" w:sz="4"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0.000</w:t>
            </w:r>
          </w:p>
        </w:tc>
        <w:tc>
          <w:tcPr>
            <w:tcW w:w="1326" w:type="dxa"/>
            <w:tcBorders>
              <w:top w:val="single" w:sz="12"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0.26</w:t>
            </w:r>
          </w:p>
        </w:tc>
        <w:tc>
          <w:tcPr>
            <w:tcW w:w="1113" w:type="dxa"/>
            <w:tcBorders>
              <w:top w:val="single" w:sz="12"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3</w:t>
            </w:r>
          </w:p>
        </w:tc>
      </w:tr>
      <w:tr w:rsidR="00AD02D3" w:rsidRPr="001F743E" w:rsidTr="00A21002">
        <w:trPr>
          <w:trHeight w:val="551"/>
        </w:trPr>
        <w:tc>
          <w:tcPr>
            <w:tcW w:w="2065" w:type="dxa"/>
            <w:tcBorders>
              <w:top w:val="nil"/>
              <w:left w:val="single" w:sz="4" w:space="0" w:color="auto"/>
              <w:bottom w:val="nil"/>
              <w:right w:val="single" w:sz="4" w:space="0" w:color="auto"/>
            </w:tcBorders>
            <w:shd w:val="clear" w:color="auto" w:fill="auto"/>
            <w:noWrap/>
            <w:vAlign w:val="bottom"/>
          </w:tcPr>
          <w:p w:rsidR="00AD02D3" w:rsidRPr="001F743E" w:rsidRDefault="00AD02D3" w:rsidP="00A21002">
            <w:pPr>
              <w:rPr>
                <w:b/>
                <w:bCs/>
                <w:sz w:val="20"/>
                <w:szCs w:val="20"/>
              </w:rPr>
            </w:pPr>
            <w:r w:rsidRPr="001F743E">
              <w:rPr>
                <w:b/>
                <w:bCs/>
                <w:sz w:val="20"/>
                <w:szCs w:val="20"/>
              </w:rPr>
              <w:t>Minimum</w:t>
            </w:r>
          </w:p>
        </w:tc>
        <w:tc>
          <w:tcPr>
            <w:tcW w:w="1060" w:type="dxa"/>
            <w:tcBorders>
              <w:top w:val="nil"/>
              <w:left w:val="nil"/>
              <w:bottom w:val="nil"/>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847</w:t>
            </w:r>
          </w:p>
        </w:tc>
        <w:tc>
          <w:tcPr>
            <w:tcW w:w="667" w:type="dxa"/>
            <w:tcBorders>
              <w:top w:val="nil"/>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6.02</w:t>
            </w:r>
          </w:p>
        </w:tc>
        <w:tc>
          <w:tcPr>
            <w:tcW w:w="1507" w:type="dxa"/>
            <w:tcBorders>
              <w:top w:val="single" w:sz="4" w:space="0" w:color="auto"/>
              <w:left w:val="nil"/>
              <w:bottom w:val="single" w:sz="4"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46.90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0.02</w:t>
            </w:r>
          </w:p>
        </w:tc>
        <w:tc>
          <w:tcPr>
            <w:tcW w:w="995" w:type="dxa"/>
            <w:tcBorders>
              <w:top w:val="nil"/>
              <w:left w:val="nil"/>
              <w:bottom w:val="single" w:sz="4"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0.000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0.04</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5</w:t>
            </w:r>
          </w:p>
        </w:tc>
      </w:tr>
      <w:tr w:rsidR="00AD02D3" w:rsidRPr="001F743E" w:rsidTr="00A21002">
        <w:trPr>
          <w:trHeight w:val="559"/>
        </w:trPr>
        <w:tc>
          <w:tcPr>
            <w:tcW w:w="2065" w:type="dxa"/>
            <w:tcBorders>
              <w:top w:val="single" w:sz="4" w:space="0" w:color="auto"/>
              <w:left w:val="single" w:sz="4" w:space="0" w:color="auto"/>
              <w:bottom w:val="nil"/>
              <w:right w:val="single" w:sz="4" w:space="0" w:color="auto"/>
            </w:tcBorders>
            <w:shd w:val="clear" w:color="auto" w:fill="auto"/>
            <w:noWrap/>
            <w:vAlign w:val="bottom"/>
          </w:tcPr>
          <w:p w:rsidR="00AD02D3" w:rsidRPr="001F743E" w:rsidRDefault="00AD02D3" w:rsidP="00A21002">
            <w:pPr>
              <w:rPr>
                <w:b/>
                <w:bCs/>
                <w:sz w:val="20"/>
                <w:szCs w:val="20"/>
              </w:rPr>
            </w:pPr>
            <w:r w:rsidRPr="001F743E">
              <w:rPr>
                <w:b/>
                <w:bCs/>
                <w:sz w:val="20"/>
                <w:szCs w:val="20"/>
              </w:rPr>
              <w:t>Maximum</w:t>
            </w:r>
          </w:p>
        </w:tc>
        <w:tc>
          <w:tcPr>
            <w:tcW w:w="1060" w:type="dxa"/>
            <w:tcBorders>
              <w:top w:val="single" w:sz="4" w:space="0" w:color="auto"/>
              <w:left w:val="single" w:sz="4" w:space="0" w:color="auto"/>
              <w:bottom w:val="nil"/>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10.05</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7.01</w:t>
            </w:r>
          </w:p>
        </w:tc>
        <w:tc>
          <w:tcPr>
            <w:tcW w:w="1507" w:type="dxa"/>
            <w:tcBorders>
              <w:top w:val="single" w:sz="4" w:space="0" w:color="auto"/>
              <w:left w:val="nil"/>
              <w:bottom w:val="single" w:sz="4"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53.90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0.10</w:t>
            </w:r>
          </w:p>
        </w:tc>
        <w:tc>
          <w:tcPr>
            <w:tcW w:w="995" w:type="dxa"/>
            <w:tcBorders>
              <w:top w:val="nil"/>
              <w:left w:val="nil"/>
              <w:bottom w:val="single" w:sz="4"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0.000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17</w:t>
            </w:r>
          </w:p>
        </w:tc>
      </w:tr>
      <w:tr w:rsidR="00AD02D3" w:rsidRPr="001F743E" w:rsidTr="00A21002">
        <w:trPr>
          <w:trHeight w:val="553"/>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rPr>
                <w:b/>
                <w:bCs/>
                <w:sz w:val="20"/>
                <w:szCs w:val="20"/>
              </w:rPr>
            </w:pPr>
            <w:r w:rsidRPr="001F743E">
              <w:rPr>
                <w:b/>
                <w:bCs/>
                <w:sz w:val="20"/>
                <w:szCs w:val="20"/>
              </w:rPr>
              <w:t>T-test: P (same mean)</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0.57</w:t>
            </w:r>
          </w:p>
        </w:tc>
        <w:tc>
          <w:tcPr>
            <w:tcW w:w="667" w:type="dxa"/>
            <w:tcBorders>
              <w:top w:val="nil"/>
              <w:left w:val="nil"/>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0.50</w:t>
            </w:r>
          </w:p>
        </w:tc>
        <w:tc>
          <w:tcPr>
            <w:tcW w:w="1507" w:type="dxa"/>
            <w:tcBorders>
              <w:top w:val="single" w:sz="4" w:space="0" w:color="auto"/>
              <w:left w:val="nil"/>
              <w:bottom w:val="single" w:sz="4" w:space="0" w:color="auto"/>
              <w:right w:val="nil"/>
            </w:tcBorders>
            <w:shd w:val="clear" w:color="auto" w:fill="auto"/>
            <w:noWrap/>
            <w:vAlign w:val="bottom"/>
          </w:tcPr>
          <w:p w:rsidR="00AD02D3" w:rsidRPr="001F743E" w:rsidRDefault="00AD02D3" w:rsidP="00A21002">
            <w:pPr>
              <w:jc w:val="right"/>
              <w:rPr>
                <w:sz w:val="20"/>
                <w:szCs w:val="20"/>
              </w:rPr>
            </w:pPr>
            <w:r w:rsidRPr="001F743E">
              <w:rPr>
                <w:sz w:val="20"/>
                <w:szCs w:val="20"/>
              </w:rPr>
              <w:t>0.00</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0.04</w:t>
            </w:r>
          </w:p>
        </w:tc>
        <w:tc>
          <w:tcPr>
            <w:tcW w:w="995" w:type="dxa"/>
            <w:tcBorders>
              <w:top w:val="nil"/>
              <w:left w:val="nil"/>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0.140</w:t>
            </w:r>
          </w:p>
        </w:tc>
        <w:tc>
          <w:tcPr>
            <w:tcW w:w="1326" w:type="dxa"/>
            <w:tcBorders>
              <w:top w:val="nil"/>
              <w:left w:val="nil"/>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0.66</w:t>
            </w:r>
          </w:p>
        </w:tc>
        <w:tc>
          <w:tcPr>
            <w:tcW w:w="1113" w:type="dxa"/>
            <w:tcBorders>
              <w:top w:val="nil"/>
              <w:left w:val="nil"/>
              <w:bottom w:val="single" w:sz="4" w:space="0" w:color="auto"/>
              <w:right w:val="single" w:sz="4" w:space="0" w:color="auto"/>
            </w:tcBorders>
            <w:shd w:val="clear" w:color="auto" w:fill="auto"/>
            <w:noWrap/>
            <w:vAlign w:val="bottom"/>
          </w:tcPr>
          <w:p w:rsidR="00AD02D3" w:rsidRPr="001F743E" w:rsidRDefault="00AD02D3" w:rsidP="00A21002">
            <w:pPr>
              <w:jc w:val="right"/>
              <w:rPr>
                <w:sz w:val="20"/>
                <w:szCs w:val="20"/>
              </w:rPr>
            </w:pPr>
            <w:r w:rsidRPr="001F743E">
              <w:rPr>
                <w:sz w:val="20"/>
                <w:szCs w:val="20"/>
              </w:rPr>
              <w:t>0.4</w:t>
            </w:r>
          </w:p>
        </w:tc>
      </w:tr>
    </w:tbl>
    <w:p w:rsidR="00AD02D3" w:rsidRPr="001F743E" w:rsidRDefault="00AD02D3" w:rsidP="00AD02D3">
      <w:r w:rsidRPr="001F743E">
        <w:rPr>
          <w:b/>
        </w:rPr>
        <w:t>*</w:t>
      </w:r>
      <w:r w:rsidRPr="001F743E">
        <w:t xml:space="preserve">There were no sites that were out of range for the parameters analyzed. </w:t>
      </w:r>
    </w:p>
    <w:p w:rsidR="00AD02D3" w:rsidRPr="001F743E" w:rsidRDefault="00AD02D3" w:rsidP="00AD02D3">
      <w:pPr>
        <w:rPr>
          <w:b/>
          <w:sz w:val="28"/>
          <w:u w:val="single"/>
        </w:rPr>
      </w:pPr>
    </w:p>
    <w:p w:rsidR="001C4C17" w:rsidRDefault="001C4C17">
      <w:pPr>
        <w:spacing w:after="200" w:line="276" w:lineRule="auto"/>
      </w:pPr>
      <w:r>
        <w:br w:type="page"/>
      </w:r>
    </w:p>
    <w:p w:rsidR="001C4C17" w:rsidRPr="009E4FBC" w:rsidRDefault="001C4C17" w:rsidP="001C4C17">
      <w:pPr>
        <w:widowControl w:val="0"/>
        <w:autoSpaceDE w:val="0"/>
        <w:autoSpaceDN w:val="0"/>
        <w:adjustRightInd w:val="0"/>
        <w:rPr>
          <w:sz w:val="28"/>
        </w:rPr>
      </w:pPr>
      <w:r w:rsidRPr="009E4FBC">
        <w:rPr>
          <w:b/>
          <w:sz w:val="28"/>
        </w:rPr>
        <w:lastRenderedPageBreak/>
        <w:t>References:</w:t>
      </w:r>
    </w:p>
    <w:p w:rsidR="001C4C17" w:rsidRPr="001F743E" w:rsidRDefault="001C4C17" w:rsidP="001C4C17">
      <w:pPr>
        <w:ind w:left="567" w:hanging="567"/>
      </w:pPr>
    </w:p>
    <w:p w:rsidR="001C4C17" w:rsidRPr="001F743E" w:rsidRDefault="001C4C17" w:rsidP="001C4C17">
      <w:pPr>
        <w:widowControl w:val="0"/>
        <w:autoSpaceDE w:val="0"/>
        <w:autoSpaceDN w:val="0"/>
        <w:adjustRightInd w:val="0"/>
        <w:ind w:left="567" w:hanging="567"/>
      </w:pPr>
      <w:r w:rsidRPr="001F743E">
        <w:t xml:space="preserve">Anderson, DM., Burkholder, JM., </w:t>
      </w:r>
      <w:proofErr w:type="spellStart"/>
      <w:r w:rsidRPr="001F743E">
        <w:t>Glibert</w:t>
      </w:r>
      <w:proofErr w:type="spellEnd"/>
      <w:r w:rsidRPr="001F743E">
        <w:t xml:space="preserve">, PM. (2002). Harmful Algal Blooms and Eutrophication: Nutrient Sources, Composition, and Consequences. </w:t>
      </w:r>
      <w:r w:rsidRPr="001F743E">
        <w:rPr>
          <w:rFonts w:cs="Times"/>
          <w:i/>
          <w:iCs/>
        </w:rPr>
        <w:t>Costal and Estuarine Research Federation, 25</w:t>
      </w:r>
      <w:r w:rsidRPr="001F743E">
        <w:t>(4), pp. 704-726.</w:t>
      </w:r>
    </w:p>
    <w:p w:rsidR="001C4C17" w:rsidRPr="001F743E" w:rsidRDefault="001C4C17" w:rsidP="001C4C17">
      <w:pPr>
        <w:widowControl w:val="0"/>
        <w:autoSpaceDE w:val="0"/>
        <w:autoSpaceDN w:val="0"/>
        <w:adjustRightInd w:val="0"/>
        <w:ind w:left="567" w:hanging="567"/>
      </w:pPr>
      <w:proofErr w:type="spellStart"/>
      <w:r w:rsidRPr="001F743E">
        <w:t>Brunskill</w:t>
      </w:r>
      <w:proofErr w:type="spellEnd"/>
      <w:r w:rsidRPr="001F743E">
        <w:t xml:space="preserve">, G., </w:t>
      </w:r>
      <w:proofErr w:type="spellStart"/>
      <w:r w:rsidRPr="001F743E">
        <w:t>Povoledo</w:t>
      </w:r>
      <w:proofErr w:type="spellEnd"/>
      <w:r w:rsidRPr="001F743E">
        <w:t xml:space="preserve">, B., &amp; </w:t>
      </w:r>
      <w:proofErr w:type="spellStart"/>
      <w:r w:rsidRPr="001F743E">
        <w:t>Stainton,M</w:t>
      </w:r>
      <w:proofErr w:type="spellEnd"/>
      <w:r w:rsidRPr="001F743E">
        <w:t>. (2011). Chemistry of surface sediments of sixteen lakes in the experimental lakes area, northwestern Ontario</w:t>
      </w:r>
      <w:r w:rsidRPr="001F743E">
        <w:rPr>
          <w:i/>
        </w:rPr>
        <w:t>. Journal of the Fisheries Research Board of Canada, 28</w:t>
      </w:r>
      <w:r w:rsidRPr="001F743E">
        <w:t>(2), 277-294.</w:t>
      </w:r>
    </w:p>
    <w:p w:rsidR="001C4C17" w:rsidRPr="001F743E" w:rsidRDefault="001C4C17" w:rsidP="001C4C17">
      <w:pPr>
        <w:widowControl w:val="0"/>
        <w:autoSpaceDE w:val="0"/>
        <w:autoSpaceDN w:val="0"/>
        <w:adjustRightInd w:val="0"/>
        <w:ind w:left="567" w:hanging="567"/>
      </w:pPr>
      <w:r w:rsidRPr="001F743E">
        <w:rPr>
          <w:rFonts w:cs="Times"/>
        </w:rPr>
        <w:t>C</w:t>
      </w:r>
      <w:bookmarkStart w:id="0" w:name="_GoBack"/>
      <w:bookmarkEnd w:id="0"/>
      <w:r w:rsidRPr="001F743E">
        <w:rPr>
          <w:rFonts w:cs="Times"/>
        </w:rPr>
        <w:t xml:space="preserve">anadian Council of Ministers of the Environment (CCME), (1999). Canadian water quality guidelines for the protection of aquatic life: Dissolved oxygen (freshwater). Retrieved from: </w:t>
      </w:r>
      <w:r w:rsidRPr="001F743E">
        <w:rPr>
          <w:rFonts w:cs="Arial"/>
        </w:rPr>
        <w:t>ceqg-rcqe.ccme.ca/download/en/177/. Accessed July 26 2014.</w:t>
      </w:r>
    </w:p>
    <w:p w:rsidR="001C4C17" w:rsidRPr="001F743E" w:rsidRDefault="001C4C17" w:rsidP="001C4C17">
      <w:pPr>
        <w:widowControl w:val="0"/>
        <w:autoSpaceDE w:val="0"/>
        <w:autoSpaceDN w:val="0"/>
        <w:adjustRightInd w:val="0"/>
        <w:ind w:left="567" w:hanging="567"/>
      </w:pPr>
      <w:r w:rsidRPr="001F743E">
        <w:rPr>
          <w:rFonts w:cs="Times"/>
        </w:rPr>
        <w:t>Canadian Council of Ministers of the Environment</w:t>
      </w:r>
      <w:r w:rsidRPr="001F743E">
        <w:t xml:space="preserve"> (CCME), (2004). </w:t>
      </w:r>
      <w:r w:rsidRPr="001F743E">
        <w:rPr>
          <w:rFonts w:cs="Times"/>
        </w:rPr>
        <w:t xml:space="preserve">Canadian water quality guidelines for the protection of aquatic life: Phosphorus: Canadian Guidance Framework for the Management of Freshwater Systems. Retrieved from: </w:t>
      </w:r>
      <w:r w:rsidRPr="001F743E">
        <w:rPr>
          <w:rFonts w:cs="Arial"/>
        </w:rPr>
        <w:t>ceqg-rcqe.</w:t>
      </w:r>
      <w:r w:rsidRPr="001F743E">
        <w:rPr>
          <w:rFonts w:cs="Arial"/>
          <w:b/>
          <w:bCs/>
        </w:rPr>
        <w:t>ccme</w:t>
      </w:r>
      <w:r w:rsidRPr="001F743E">
        <w:rPr>
          <w:rFonts w:cs="Arial"/>
        </w:rPr>
        <w:t>.ca/download/en/205/. Accessed July 26 2014.</w:t>
      </w:r>
    </w:p>
    <w:p w:rsidR="001C4C17" w:rsidRPr="001F743E" w:rsidRDefault="001C4C17" w:rsidP="001C4C17">
      <w:pPr>
        <w:widowControl w:val="0"/>
        <w:autoSpaceDE w:val="0"/>
        <w:autoSpaceDN w:val="0"/>
        <w:adjustRightInd w:val="0"/>
        <w:ind w:left="567" w:hanging="567"/>
        <w:rPr>
          <w:rFonts w:cs="Arial"/>
        </w:rPr>
      </w:pPr>
      <w:r w:rsidRPr="001F743E">
        <w:t>Canadian Council of Minister of the Environment (CCME), (2009).  Water quality: Nitrate and nitrite. Retrieved from: http://www.ccme.ca/sourcetotap/nitrates.html. Accessed July 27 2014.</w:t>
      </w:r>
    </w:p>
    <w:p w:rsidR="001C4C17" w:rsidRPr="001F743E" w:rsidRDefault="001C4C17" w:rsidP="001C4C17">
      <w:pPr>
        <w:widowControl w:val="0"/>
        <w:autoSpaceDE w:val="0"/>
        <w:autoSpaceDN w:val="0"/>
        <w:adjustRightInd w:val="0"/>
        <w:rPr>
          <w:rFonts w:cs="Arial"/>
        </w:rPr>
      </w:pPr>
      <w:r w:rsidRPr="001F743E">
        <w:rPr>
          <w:color w:val="000000"/>
        </w:rPr>
        <w:t>CCME. (1987). Canadian Environmental Quality Guidelines Summary Table. Canadian</w:t>
      </w:r>
    </w:p>
    <w:p w:rsidR="001C4C17" w:rsidRPr="001F743E" w:rsidRDefault="001C4C17" w:rsidP="001C4C17">
      <w:pPr>
        <w:widowControl w:val="0"/>
        <w:autoSpaceDE w:val="0"/>
        <w:autoSpaceDN w:val="0"/>
        <w:adjustRightInd w:val="0"/>
        <w:rPr>
          <w:color w:val="000000"/>
        </w:rPr>
      </w:pPr>
      <w:r w:rsidRPr="001F743E">
        <w:rPr>
          <w:color w:val="000000"/>
        </w:rPr>
        <w:t xml:space="preserve">Environmental Quality Guidelines (CEQG online). </w:t>
      </w:r>
      <w:hyperlink r:id="rId7" w:history="1">
        <w:r w:rsidRPr="001F743E">
          <w:rPr>
            <w:rStyle w:val="Hyperlink"/>
          </w:rPr>
          <w:t>http://stts.ccme.ca/?lang=en&amp;factsheet=162</w:t>
        </w:r>
      </w:hyperlink>
      <w:r w:rsidRPr="001F743E">
        <w:rPr>
          <w:color w:val="000000"/>
        </w:rPr>
        <w:t>. Accessed July 15, 2014.</w:t>
      </w:r>
    </w:p>
    <w:p w:rsidR="001C4C17" w:rsidRPr="001F743E" w:rsidRDefault="001C4C17" w:rsidP="001C4C17">
      <w:pPr>
        <w:ind w:left="567" w:hanging="567"/>
        <w:rPr>
          <w:rFonts w:cs="Arial"/>
        </w:rPr>
      </w:pPr>
      <w:proofErr w:type="spellStart"/>
      <w:r w:rsidRPr="001F743E">
        <w:rPr>
          <w:rFonts w:cs="Arial"/>
        </w:rPr>
        <w:t>Correll</w:t>
      </w:r>
      <w:proofErr w:type="spellEnd"/>
      <w:r w:rsidRPr="001F743E">
        <w:rPr>
          <w:rFonts w:cs="Arial"/>
        </w:rPr>
        <w:t xml:space="preserve">, L.D., (1998). The role of phosphorus in the </w:t>
      </w:r>
      <w:proofErr w:type="spellStart"/>
      <w:r w:rsidRPr="001F743E">
        <w:rPr>
          <w:rFonts w:cs="Arial"/>
        </w:rPr>
        <w:t>eutropication</w:t>
      </w:r>
      <w:proofErr w:type="spellEnd"/>
      <w:r w:rsidRPr="001F743E">
        <w:rPr>
          <w:rFonts w:cs="Arial"/>
        </w:rPr>
        <w:t xml:space="preserve"> of receiving waters: A review. </w:t>
      </w:r>
      <w:r w:rsidRPr="001F743E">
        <w:rPr>
          <w:rFonts w:cs="Arial"/>
          <w:i/>
        </w:rPr>
        <w:t xml:space="preserve">J </w:t>
      </w:r>
      <w:proofErr w:type="spellStart"/>
      <w:r w:rsidRPr="001F743E">
        <w:rPr>
          <w:rFonts w:cs="Arial"/>
          <w:i/>
        </w:rPr>
        <w:t>Envrion</w:t>
      </w:r>
      <w:proofErr w:type="spellEnd"/>
      <w:r w:rsidRPr="001F743E">
        <w:rPr>
          <w:rFonts w:cs="Arial"/>
          <w:i/>
        </w:rPr>
        <w:t xml:space="preserve"> </w:t>
      </w:r>
      <w:proofErr w:type="spellStart"/>
      <w:r w:rsidRPr="001F743E">
        <w:rPr>
          <w:rFonts w:cs="Arial"/>
          <w:i/>
        </w:rPr>
        <w:t>Qual</w:t>
      </w:r>
      <w:proofErr w:type="spellEnd"/>
      <w:r w:rsidRPr="001F743E">
        <w:rPr>
          <w:rFonts w:cs="Arial"/>
        </w:rPr>
        <w:t xml:space="preserve">, 27(1), 261-266. </w:t>
      </w:r>
    </w:p>
    <w:p w:rsidR="001C4C17" w:rsidRPr="001F743E" w:rsidRDefault="001C4C17" w:rsidP="001C4C17">
      <w:pPr>
        <w:ind w:left="567" w:hanging="567"/>
      </w:pPr>
      <w:r w:rsidRPr="001F743E">
        <w:t xml:space="preserve">Credit Valley Conservation (2014). Water Quality Parameters. </w:t>
      </w:r>
      <w:hyperlink r:id="rId8" w:anchor="ph" w:history="1">
        <w:r w:rsidRPr="001F743E">
          <w:rPr>
            <w:rStyle w:val="Hyperlink"/>
          </w:rPr>
          <w:t>http://www.creditvalleyca.ca/watershed-science/watershed-monitoring/real-time-water-quality/water-quality-parameters/#ph</w:t>
        </w:r>
      </w:hyperlink>
      <w:r w:rsidRPr="001F743E">
        <w:t>. Accessed July 17</w:t>
      </w:r>
      <w:r w:rsidRPr="001F743E">
        <w:rPr>
          <w:vertAlign w:val="superscript"/>
        </w:rPr>
        <w:t>th</w:t>
      </w:r>
      <w:r w:rsidRPr="001F743E">
        <w:t xml:space="preserve">, 2014. </w:t>
      </w:r>
    </w:p>
    <w:p w:rsidR="001C4C17" w:rsidRPr="001F743E" w:rsidRDefault="001C4C17" w:rsidP="001C4C17">
      <w:pPr>
        <w:ind w:left="567" w:hanging="567"/>
      </w:pPr>
      <w:proofErr w:type="spellStart"/>
      <w:r w:rsidRPr="001F743E">
        <w:rPr>
          <w:rFonts w:cs="Arial"/>
          <w:color w:val="3F3F3F"/>
          <w:szCs w:val="28"/>
        </w:rPr>
        <w:t>Effler</w:t>
      </w:r>
      <w:proofErr w:type="spellEnd"/>
      <w:r w:rsidRPr="001F743E">
        <w:rPr>
          <w:rFonts w:cs="Arial"/>
          <w:color w:val="3F3F3F"/>
          <w:szCs w:val="28"/>
        </w:rPr>
        <w:t xml:space="preserve">, S. (1988). </w:t>
      </w:r>
      <w:proofErr w:type="spellStart"/>
      <w:r w:rsidRPr="001F743E">
        <w:rPr>
          <w:rFonts w:cs="Arial"/>
          <w:color w:val="3F3F3F"/>
          <w:szCs w:val="28"/>
        </w:rPr>
        <w:t>Secchi</w:t>
      </w:r>
      <w:proofErr w:type="spellEnd"/>
      <w:r w:rsidRPr="001F743E">
        <w:rPr>
          <w:rFonts w:cs="Arial"/>
          <w:color w:val="3F3F3F"/>
          <w:szCs w:val="28"/>
        </w:rPr>
        <w:t xml:space="preserve"> disk transparency and turbidity. </w:t>
      </w:r>
      <w:r w:rsidRPr="001F743E">
        <w:rPr>
          <w:rFonts w:cs="Arial"/>
          <w:i/>
          <w:color w:val="3F3F3F"/>
          <w:szCs w:val="28"/>
        </w:rPr>
        <w:t>Journal of Environment and Engineering</w:t>
      </w:r>
      <w:r w:rsidRPr="001F743E">
        <w:rPr>
          <w:rFonts w:cs="Arial"/>
          <w:color w:val="3F3F3F"/>
          <w:szCs w:val="28"/>
        </w:rPr>
        <w:t xml:space="preserve">, </w:t>
      </w:r>
      <w:r w:rsidRPr="001F743E">
        <w:rPr>
          <w:rFonts w:cs="Arial"/>
          <w:i/>
          <w:color w:val="3F3F3F"/>
          <w:szCs w:val="28"/>
        </w:rPr>
        <w:t>114</w:t>
      </w:r>
      <w:r w:rsidRPr="001F743E">
        <w:rPr>
          <w:rFonts w:cs="Arial"/>
          <w:color w:val="3F3F3F"/>
          <w:szCs w:val="28"/>
        </w:rPr>
        <w:t>(6), 1436-1447.</w:t>
      </w:r>
    </w:p>
    <w:p w:rsidR="001C4C17" w:rsidRPr="001F743E" w:rsidRDefault="001C4C17" w:rsidP="001C4C17">
      <w:pPr>
        <w:ind w:left="567" w:hanging="567"/>
      </w:pPr>
      <w:r w:rsidRPr="001F743E">
        <w:t xml:space="preserve">Environment Canada (2011). Canada’s Freshwater Quality in a Global Context Indicator. Retrieved from: </w:t>
      </w:r>
      <w:hyperlink r:id="rId9" w:history="1">
        <w:r w:rsidRPr="001F743E">
          <w:rPr>
            <w:rStyle w:val="Hyperlink"/>
          </w:rPr>
          <w:t>https://www.ec.gc.ca/indicateurs-indicators/default.asp?lang=En&amp;n=DB689C68-1</w:t>
        </w:r>
      </w:hyperlink>
      <w:r w:rsidRPr="001F743E">
        <w:t>. Accessed July 12, 2014.</w:t>
      </w:r>
    </w:p>
    <w:p w:rsidR="001C4C17" w:rsidRPr="001F743E" w:rsidRDefault="001C4C17" w:rsidP="001C4C17">
      <w:pPr>
        <w:ind w:left="567" w:hanging="567"/>
        <w:rPr>
          <w:color w:val="00009A"/>
        </w:rPr>
      </w:pPr>
      <w:r w:rsidRPr="001F743E">
        <w:rPr>
          <w:color w:val="000000"/>
        </w:rPr>
        <w:t xml:space="preserve">HACH Company. (2014). </w:t>
      </w:r>
      <w:proofErr w:type="spellStart"/>
      <w:r w:rsidRPr="001F743E">
        <w:rPr>
          <w:color w:val="000000"/>
        </w:rPr>
        <w:t>Hach</w:t>
      </w:r>
      <w:proofErr w:type="spellEnd"/>
      <w:r w:rsidRPr="001F743E">
        <w:rPr>
          <w:color w:val="000000"/>
        </w:rPr>
        <w:t xml:space="preserve"> Canada. Retrieved from </w:t>
      </w:r>
      <w:hyperlink r:id="rId10" w:history="1">
        <w:r w:rsidRPr="001F743E">
          <w:rPr>
            <w:rStyle w:val="Hyperlink"/>
          </w:rPr>
          <w:t>http://www.hachco.ca</w:t>
        </w:r>
      </w:hyperlink>
      <w:r w:rsidRPr="001F743E">
        <w:rPr>
          <w:color w:val="00009A"/>
        </w:rPr>
        <w:t>. Accessed June 5 2014.</w:t>
      </w:r>
    </w:p>
    <w:p w:rsidR="001C4C17" w:rsidRPr="001F743E" w:rsidRDefault="001C4C17" w:rsidP="001C4C17">
      <w:pPr>
        <w:ind w:left="567" w:hanging="567"/>
        <w:rPr>
          <w:szCs w:val="23"/>
        </w:rPr>
      </w:pPr>
      <w:r w:rsidRPr="001F743E">
        <w:rPr>
          <w:szCs w:val="23"/>
        </w:rPr>
        <w:t xml:space="preserve">Health Canada (2012). Guidelines for Canadian Recreational Water Quality, Third Edition. Water, Air and Climate Change Bureau, Healthy Environments and Consumer Safety Branch, Health Canada, Ottawa, Ontario. (Catalogue No H129-15/2012E). </w:t>
      </w:r>
    </w:p>
    <w:p w:rsidR="001C4C17" w:rsidRPr="001F743E" w:rsidRDefault="001C4C17" w:rsidP="001C4C17">
      <w:pPr>
        <w:ind w:left="567" w:hanging="567"/>
        <w:rPr>
          <w:szCs w:val="20"/>
        </w:rPr>
      </w:pPr>
      <w:r w:rsidRPr="001F743E">
        <w:t>Jones, W.W., Clark, M., Bond, J., &amp; Powers, S., (2012). Indiana lake water quality assessment report. Indiana Department of Environmental Management Office of Water Quality. Retrieved from: http://www.indiana.edu/~clp/documents/LWQA%202009-2011.pdf</w:t>
      </w:r>
      <w:r w:rsidRPr="001F743E">
        <w:rPr>
          <w:szCs w:val="20"/>
        </w:rPr>
        <w:t xml:space="preserve"> </w:t>
      </w:r>
    </w:p>
    <w:p w:rsidR="001C4C17" w:rsidRPr="001F743E" w:rsidRDefault="001C4C17" w:rsidP="001C4C17">
      <w:pPr>
        <w:ind w:left="567" w:hanging="567"/>
      </w:pPr>
      <w:r w:rsidRPr="001F743E">
        <w:rPr>
          <w:szCs w:val="20"/>
        </w:rPr>
        <w:t>Kerr, S.J. 1995. Silt, turbidity and suspended sediments in the</w:t>
      </w:r>
    </w:p>
    <w:p w:rsidR="001C4C17" w:rsidRPr="001F743E" w:rsidRDefault="001C4C17" w:rsidP="001C4C17">
      <w:pPr>
        <w:widowControl w:val="0"/>
        <w:autoSpaceDE w:val="0"/>
        <w:autoSpaceDN w:val="0"/>
        <w:adjustRightInd w:val="0"/>
        <w:ind w:left="567" w:hanging="567"/>
        <w:rPr>
          <w:szCs w:val="20"/>
        </w:rPr>
      </w:pPr>
      <w:r w:rsidRPr="001F743E">
        <w:rPr>
          <w:szCs w:val="20"/>
        </w:rPr>
        <w:t xml:space="preserve">            aquatic environment: an annotated bibliography and literature review. </w:t>
      </w:r>
      <w:r w:rsidRPr="001F743E">
        <w:rPr>
          <w:i/>
          <w:szCs w:val="20"/>
        </w:rPr>
        <w:t>Ontario Ministry of Natural Resources, Southern Region Science &amp; Technology Transfer Unit Technical Report</w:t>
      </w:r>
      <w:r w:rsidRPr="001F743E">
        <w:rPr>
          <w:szCs w:val="20"/>
        </w:rPr>
        <w:t xml:space="preserve"> TR-008. 277 pp.</w:t>
      </w:r>
    </w:p>
    <w:p w:rsidR="001C4C17" w:rsidRPr="001F743E" w:rsidRDefault="001C4C17" w:rsidP="001C4C17">
      <w:pPr>
        <w:tabs>
          <w:tab w:val="left" w:pos="567"/>
        </w:tabs>
        <w:ind w:left="567" w:hanging="567"/>
      </w:pPr>
      <w:proofErr w:type="spellStart"/>
      <w:r w:rsidRPr="001F743E">
        <w:lastRenderedPageBreak/>
        <w:t>Litke</w:t>
      </w:r>
      <w:proofErr w:type="spellEnd"/>
      <w:r w:rsidRPr="001F743E">
        <w:t xml:space="preserve">, D.W., (1999). Review of phosphorus control measures in the United States and their effects on water quality. </w:t>
      </w:r>
      <w:r w:rsidRPr="001F743E">
        <w:rPr>
          <w:i/>
        </w:rPr>
        <w:t>The National Water Quality Assessment Program</w:t>
      </w:r>
      <w:r w:rsidRPr="001F743E">
        <w:t xml:space="preserve">, 99(4007), 1-32. </w:t>
      </w:r>
    </w:p>
    <w:p w:rsidR="001C4C17" w:rsidRPr="001F743E" w:rsidRDefault="001C4C17" w:rsidP="001C4C17">
      <w:pPr>
        <w:tabs>
          <w:tab w:val="left" w:pos="567"/>
        </w:tabs>
        <w:ind w:left="567" w:hanging="567"/>
      </w:pPr>
      <w:r w:rsidRPr="001F743E">
        <w:t xml:space="preserve">Ministry of the Environment and Energy (MOEE), (1994). Water management: Policies, guidelines, provincial water quality objectives. Retrieved from: http://agrienvarchive.ca/download/water_qual_object94.pdf. Accessed July 23 2014. </w:t>
      </w:r>
    </w:p>
    <w:p w:rsidR="001C4C17" w:rsidRPr="001F743E" w:rsidRDefault="001C4C17" w:rsidP="001C4C17">
      <w:pPr>
        <w:ind w:left="567" w:hanging="567"/>
      </w:pPr>
      <w:r w:rsidRPr="001F743E">
        <w:t xml:space="preserve">Ministry of Environment (MOE), (1997). Water quality: Ambient water quality criteria for dissolved oxygen. Retrieved from: http://www.env.gov.bc.ca/wat/wq/BCguidelines/do/do_over.html. Accessed July 27 2014. </w:t>
      </w:r>
    </w:p>
    <w:p w:rsidR="001C4C17" w:rsidRPr="001F743E" w:rsidRDefault="001C4C17" w:rsidP="001C4C17">
      <w:pPr>
        <w:ind w:left="567" w:hanging="567"/>
      </w:pPr>
      <w:r w:rsidRPr="001F743E">
        <w:t xml:space="preserve">Ministry of Environment (MOE), (2001). Water quality: Water quality criteria for nitrogen (Nitrate, nitrite, and ammonia). Retrieved from: http://www.env.gov.bc.ca/wat/wq/BCguidelines/nitrogen/nitrogen.html. Accessed July 27 2014. </w:t>
      </w:r>
    </w:p>
    <w:p w:rsidR="00B41A1A" w:rsidRDefault="001C4C17" w:rsidP="001C4C17">
      <w:proofErr w:type="spellStart"/>
      <w:r w:rsidRPr="001F743E">
        <w:t>Nairn</w:t>
      </w:r>
      <w:proofErr w:type="spellEnd"/>
      <w:r w:rsidRPr="001F743E">
        <w:t xml:space="preserve">, J., &amp; Aitkin, S., (2013). 2013 Water quality initiative report. Muskoka Lakes Association and </w:t>
      </w:r>
      <w:proofErr w:type="spellStart"/>
      <w:r w:rsidRPr="001F743E">
        <w:t>Beakon</w:t>
      </w:r>
      <w:proofErr w:type="spellEnd"/>
      <w:r w:rsidRPr="001F743E">
        <w:t xml:space="preserve"> Environmental. Retrieved from: </w:t>
      </w:r>
      <w:hyperlink r:id="rId11" w:history="1">
        <w:r w:rsidRPr="001F743E">
          <w:rPr>
            <w:rStyle w:val="Hyperlink"/>
          </w:rPr>
          <w:t>http://www.mla.on.ca/Page.asp?PageID=122&amp;ContentID=5224&amp;SiteNodeID=18</w:t>
        </w:r>
      </w:hyperlink>
      <w:r w:rsidRPr="001F743E">
        <w:t>. Assessed on July 21 2014.</w:t>
      </w:r>
    </w:p>
    <w:sectPr w:rsidR="00B41A1A" w:rsidSect="00BC2DB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0206A"/>
    <w:multiLevelType w:val="hybridMultilevel"/>
    <w:tmpl w:val="7B8C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F7780"/>
    <w:multiLevelType w:val="hybridMultilevel"/>
    <w:tmpl w:val="60F2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defaultTabStop w:val="720"/>
  <w:characterSpacingControl w:val="doNotCompress"/>
  <w:compat/>
  <w:rsids>
    <w:rsidRoot w:val="00AD02D3"/>
    <w:rsid w:val="001C4C17"/>
    <w:rsid w:val="003C7E81"/>
    <w:rsid w:val="00495702"/>
    <w:rsid w:val="005506BE"/>
    <w:rsid w:val="007E290E"/>
    <w:rsid w:val="00A55B9A"/>
    <w:rsid w:val="00AD02D3"/>
    <w:rsid w:val="00B41A1A"/>
    <w:rsid w:val="00BC2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2D3"/>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C17"/>
    <w:rPr>
      <w:rFonts w:ascii="Tahoma" w:hAnsi="Tahoma" w:cs="Tahoma"/>
      <w:sz w:val="16"/>
      <w:szCs w:val="16"/>
    </w:rPr>
  </w:style>
  <w:style w:type="character" w:customStyle="1" w:styleId="BalloonTextChar">
    <w:name w:val="Balloon Text Char"/>
    <w:basedOn w:val="DefaultParagraphFont"/>
    <w:link w:val="BalloonText"/>
    <w:uiPriority w:val="99"/>
    <w:semiHidden/>
    <w:rsid w:val="001C4C17"/>
    <w:rPr>
      <w:rFonts w:ascii="Tahoma" w:eastAsia="Cambria" w:hAnsi="Tahoma" w:cs="Tahoma"/>
      <w:sz w:val="16"/>
      <w:szCs w:val="16"/>
      <w:lang w:val="en-US"/>
    </w:rPr>
  </w:style>
  <w:style w:type="character" w:styleId="Hyperlink">
    <w:name w:val="Hyperlink"/>
    <w:uiPriority w:val="99"/>
    <w:unhideWhenUsed/>
    <w:rsid w:val="001C4C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2D3"/>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C17"/>
    <w:rPr>
      <w:rFonts w:ascii="Tahoma" w:hAnsi="Tahoma" w:cs="Tahoma"/>
      <w:sz w:val="16"/>
      <w:szCs w:val="16"/>
    </w:rPr>
  </w:style>
  <w:style w:type="character" w:customStyle="1" w:styleId="BalloonTextChar">
    <w:name w:val="Balloon Text Char"/>
    <w:basedOn w:val="DefaultParagraphFont"/>
    <w:link w:val="BalloonText"/>
    <w:uiPriority w:val="99"/>
    <w:semiHidden/>
    <w:rsid w:val="001C4C17"/>
    <w:rPr>
      <w:rFonts w:ascii="Tahoma" w:eastAsia="Cambria" w:hAnsi="Tahoma" w:cs="Tahoma"/>
      <w:sz w:val="16"/>
      <w:szCs w:val="16"/>
      <w:lang w:val="en-US"/>
    </w:rPr>
  </w:style>
  <w:style w:type="character" w:styleId="Hyperlink">
    <w:name w:val="Hyperlink"/>
    <w:uiPriority w:val="99"/>
    <w:unhideWhenUsed/>
    <w:rsid w:val="001C4C1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valleyca.ca/watershed-science/watershed-monitoring/real-time-water-quality/water-quality-paramet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ts.ccme.ca/?lang=en&amp;factsheet=16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la.on.ca/Page.asp?PageID=122&amp;ContentID=5224&amp;SiteNodeID=18" TargetMode="External"/><Relationship Id="rId5" Type="http://schemas.openxmlformats.org/officeDocument/2006/relationships/webSettings" Target="webSettings.xml"/><Relationship Id="rId10" Type="http://schemas.openxmlformats.org/officeDocument/2006/relationships/hyperlink" Target="http://www.hachco.ca" TargetMode="External"/><Relationship Id="rId4" Type="http://schemas.openxmlformats.org/officeDocument/2006/relationships/settings" Target="settings.xml"/><Relationship Id="rId9" Type="http://schemas.openxmlformats.org/officeDocument/2006/relationships/hyperlink" Target="https://www.ec.gc.ca/indicateurs-indicators/default.asp?lang=En&amp;n=DB689C68-1"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28265-41B3-4BEB-93FF-599AA357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3691</Words>
  <Characters>21043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Ryan</cp:lastModifiedBy>
  <cp:revision>4</cp:revision>
  <dcterms:created xsi:type="dcterms:W3CDTF">2014-09-05T15:11:00Z</dcterms:created>
  <dcterms:modified xsi:type="dcterms:W3CDTF">2015-09-13T16:02:00Z</dcterms:modified>
</cp:coreProperties>
</file>